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E3" w:rsidRPr="00DB2BC4" w:rsidRDefault="000871C7" w:rsidP="001A05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" w:hAnsi="Arial" w:cs="Arial"/>
          <w:b/>
          <w:bCs/>
          <w:color w:val="000000" w:themeColor="text1"/>
          <w:lang w:val="fr-FR"/>
        </w:rPr>
      </w:pPr>
      <w:r w:rsidRPr="00DB2BC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4B2E5" wp14:editId="2A6FE2D2">
                <wp:simplePos x="0" y="0"/>
                <wp:positionH relativeFrom="column">
                  <wp:posOffset>5402313</wp:posOffset>
                </wp:positionH>
                <wp:positionV relativeFrom="paragraph">
                  <wp:posOffset>-718324</wp:posOffset>
                </wp:positionV>
                <wp:extent cx="819150" cy="762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F94" w:rsidRDefault="00A367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44791B" wp14:editId="0EE6E045">
                                  <wp:extent cx="629920" cy="638201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920" cy="638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4B2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4pt;margin-top:-56.55pt;width:64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" fillcolor="white [3201]" strokeweight=".5pt">
                <v:textbox>
                  <w:txbxContent>
                    <w:p w:rsidR="008F2F94" w:rsidRDefault="00A36716">
                      <w:r>
                        <w:rPr>
                          <w:noProof/>
                        </w:rPr>
                        <w:drawing>
                          <wp:inline distT="0" distB="0" distL="0" distR="0" wp14:anchorId="6544791B" wp14:editId="0EE6E045">
                            <wp:extent cx="629920" cy="638201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920" cy="6382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B2BC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DCD03" wp14:editId="71AEB00C">
                <wp:simplePos x="0" y="0"/>
                <wp:positionH relativeFrom="column">
                  <wp:posOffset>-194945</wp:posOffset>
                </wp:positionH>
                <wp:positionV relativeFrom="paragraph">
                  <wp:posOffset>-677545</wp:posOffset>
                </wp:positionV>
                <wp:extent cx="876300" cy="762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F94" w:rsidRDefault="008F2F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1EB523" wp14:editId="3A17CCE4">
                                  <wp:extent cx="676275" cy="685500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788" cy="6880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DCD03" id="Text Box 1" o:spid="_x0000_s1027" type="#_x0000_t202" style="position:absolute;left:0;text-align:left;margin-left:-15.35pt;margin-top:-53.35pt;width:69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" fillcolor="white [3201]" strokeweight=".5pt">
                <v:textbox>
                  <w:txbxContent>
                    <w:p w:rsidR="008F2F94" w:rsidRDefault="008F2F94">
                      <w:r>
                        <w:rPr>
                          <w:noProof/>
                        </w:rPr>
                        <w:drawing>
                          <wp:inline distT="0" distB="0" distL="0" distR="0" wp14:anchorId="491EB523" wp14:editId="3A17CCE4">
                            <wp:extent cx="676275" cy="685500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788" cy="6880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0EE3" w:rsidRPr="00DB2BC4">
        <w:rPr>
          <w:b/>
          <w:lang w:val="fr-FR"/>
        </w:rPr>
        <w:t>PROTOCOLE THERAPEUTIQUE COVID-19</w:t>
      </w:r>
    </w:p>
    <w:p w:rsidR="007B4876" w:rsidRPr="00DB2BC4" w:rsidRDefault="003F637D" w:rsidP="007B4876">
      <w:pPr>
        <w:jc w:val="center"/>
        <w:rPr>
          <w:rFonts w:eastAsia="Batang"/>
          <w:b/>
          <w:bCs/>
          <w:iCs/>
          <w:u w:val="single"/>
          <w:lang w:val="fr-FR"/>
        </w:rPr>
      </w:pPr>
      <w:r>
        <w:rPr>
          <w:rFonts w:eastAsia="Batang"/>
          <w:b/>
          <w:bCs/>
          <w:iCs/>
          <w:u w:val="single"/>
          <w:lang w:val="fr-FR"/>
        </w:rPr>
        <w:t>Cas</w:t>
      </w:r>
      <w:r w:rsidR="007B4876" w:rsidRPr="00DB2BC4">
        <w:rPr>
          <w:rFonts w:eastAsia="Batang"/>
          <w:b/>
          <w:bCs/>
          <w:iCs/>
          <w:u w:val="single"/>
          <w:lang w:val="fr-FR"/>
        </w:rPr>
        <w:t xml:space="preserve"> modéré</w:t>
      </w:r>
      <w:r>
        <w:rPr>
          <w:rFonts w:eastAsia="Batang"/>
          <w:b/>
          <w:bCs/>
          <w:iCs/>
          <w:u w:val="single"/>
          <w:lang w:val="fr-FR"/>
        </w:rPr>
        <w:t>s</w:t>
      </w:r>
      <w:r w:rsidR="007B4876" w:rsidRPr="00DB2BC4">
        <w:rPr>
          <w:rFonts w:eastAsia="Batang"/>
          <w:b/>
          <w:bCs/>
          <w:iCs/>
          <w:u w:val="single"/>
          <w:lang w:val="fr-FR"/>
        </w:rPr>
        <w:t xml:space="preserve"> ou grave</w:t>
      </w:r>
      <w:r>
        <w:rPr>
          <w:rFonts w:eastAsia="Batang"/>
          <w:b/>
          <w:bCs/>
          <w:iCs/>
          <w:u w:val="single"/>
          <w:lang w:val="fr-FR"/>
        </w:rPr>
        <w:t>s</w:t>
      </w:r>
      <w:r w:rsidR="007B4876" w:rsidRPr="00DB2BC4">
        <w:rPr>
          <w:rFonts w:eastAsia="Batang"/>
          <w:b/>
          <w:bCs/>
          <w:iCs/>
          <w:u w:val="single"/>
          <w:lang w:val="fr-FR"/>
        </w:rPr>
        <w:t xml:space="preserve"> avec ou sans facteur de risque</w:t>
      </w:r>
    </w:p>
    <w:p w:rsidR="007B4876" w:rsidRPr="00B95371" w:rsidRDefault="007B4876" w:rsidP="007B4876">
      <w:pPr>
        <w:pStyle w:val="Paragraphedeliste"/>
        <w:widowControl/>
        <w:numPr>
          <w:ilvl w:val="0"/>
          <w:numId w:val="1"/>
        </w:numPr>
        <w:autoSpaceDE/>
        <w:autoSpaceDN/>
        <w:jc w:val="both"/>
        <w:rPr>
          <w:rFonts w:eastAsiaTheme="minorHAnsi"/>
          <w:lang w:val="fr-FR"/>
        </w:rPr>
      </w:pPr>
      <w:r w:rsidRPr="00B95371">
        <w:rPr>
          <w:rFonts w:eastAsia="Batang"/>
          <w:bCs/>
          <w:iCs/>
          <w:lang w:val="fr-FR"/>
        </w:rPr>
        <w:t>Repos au lit</w:t>
      </w:r>
      <w:r w:rsidR="009502B1" w:rsidRPr="00B95371">
        <w:rPr>
          <w:rFonts w:eastAsia="Batang"/>
          <w:bCs/>
          <w:iCs/>
          <w:lang w:val="fr-FR"/>
        </w:rPr>
        <w:t xml:space="preserve"> avec mobilisation </w:t>
      </w:r>
      <w:proofErr w:type="spellStart"/>
      <w:r w:rsidR="009502B1" w:rsidRPr="00B95371">
        <w:rPr>
          <w:rFonts w:eastAsia="Batang"/>
          <w:bCs/>
          <w:iCs/>
          <w:lang w:val="fr-FR"/>
        </w:rPr>
        <w:t>encourag</w:t>
      </w:r>
      <w:r w:rsidR="009502B1" w:rsidRPr="00B95371">
        <w:rPr>
          <w:rFonts w:eastAsia="Batang"/>
          <w:bCs/>
          <w:iCs/>
          <w:lang w:val="fr-CA"/>
        </w:rPr>
        <w:t>ée</w:t>
      </w:r>
      <w:proofErr w:type="spellEnd"/>
    </w:p>
    <w:p w:rsidR="001A0500" w:rsidRPr="00B95371" w:rsidRDefault="00DB2BC4" w:rsidP="007B4876">
      <w:pPr>
        <w:pStyle w:val="Paragraphedeliste"/>
        <w:widowControl/>
        <w:numPr>
          <w:ilvl w:val="0"/>
          <w:numId w:val="1"/>
        </w:numPr>
        <w:autoSpaceDE/>
        <w:autoSpaceDN/>
        <w:jc w:val="both"/>
        <w:rPr>
          <w:rFonts w:eastAsiaTheme="minorHAnsi"/>
          <w:lang w:val="fr-FR"/>
        </w:rPr>
      </w:pPr>
      <w:r w:rsidRPr="00B95371">
        <w:rPr>
          <w:rFonts w:eastAsiaTheme="minorHAnsi"/>
          <w:lang w:val="fr-FR"/>
        </w:rPr>
        <w:t xml:space="preserve">Hydratation : </w:t>
      </w:r>
      <w:r w:rsidR="001A0500" w:rsidRPr="00B95371">
        <w:rPr>
          <w:rFonts w:eastAsiaTheme="minorHAnsi"/>
          <w:lang w:val="fr-FR"/>
        </w:rPr>
        <w:t>- Si déshydratation</w:t>
      </w:r>
      <w:r w:rsidR="003F14AE" w:rsidRPr="00B95371">
        <w:rPr>
          <w:rFonts w:eastAsiaTheme="minorHAnsi"/>
          <w:lang w:val="fr-FR"/>
        </w:rPr>
        <w:t xml:space="preserve"> donner des bolus</w:t>
      </w:r>
      <w:r w:rsidR="001A0500" w:rsidRPr="00B95371">
        <w:rPr>
          <w:rFonts w:eastAsiaTheme="minorHAnsi"/>
          <w:lang w:val="fr-FR"/>
        </w:rPr>
        <w:t xml:space="preserve"> de 500 à 1000ml jusqu’à une diurèse &gt;5ml/kg/H</w:t>
      </w:r>
    </w:p>
    <w:p w:rsidR="007B4876" w:rsidRPr="00B95371" w:rsidRDefault="001A0500" w:rsidP="001A0500">
      <w:pPr>
        <w:pStyle w:val="Paragraphedeliste"/>
        <w:widowControl/>
        <w:autoSpaceDE/>
        <w:autoSpaceDN/>
        <w:ind w:left="630" w:firstLine="0"/>
        <w:jc w:val="both"/>
        <w:rPr>
          <w:rFonts w:eastAsiaTheme="minorHAnsi"/>
          <w:lang w:val="fr-FR"/>
        </w:rPr>
      </w:pPr>
      <w:r w:rsidRPr="00B95371">
        <w:rPr>
          <w:rFonts w:eastAsiaTheme="minorHAnsi"/>
          <w:lang w:val="fr-FR"/>
        </w:rPr>
        <w:t xml:space="preserve">Maintien : </w:t>
      </w:r>
      <w:r w:rsidR="007B4876" w:rsidRPr="00B95371">
        <w:rPr>
          <w:rFonts w:eastAsiaTheme="minorHAnsi"/>
          <w:lang w:val="fr-FR"/>
        </w:rPr>
        <w:t>2 à 3 litres de soluté (NS ou R/L) sur 24 heures selon les besoins du patient</w:t>
      </w:r>
    </w:p>
    <w:p w:rsidR="007B4876" w:rsidRPr="00B95371" w:rsidRDefault="007B4876" w:rsidP="007B4876">
      <w:pPr>
        <w:pStyle w:val="Paragraphedeliste"/>
        <w:widowControl/>
        <w:numPr>
          <w:ilvl w:val="0"/>
          <w:numId w:val="1"/>
        </w:numPr>
        <w:autoSpaceDE/>
        <w:autoSpaceDN/>
        <w:jc w:val="both"/>
        <w:rPr>
          <w:rFonts w:eastAsiaTheme="minorHAnsi"/>
          <w:lang w:val="fr-FR"/>
        </w:rPr>
      </w:pPr>
      <w:r w:rsidRPr="00B95371">
        <w:rPr>
          <w:rFonts w:eastAsiaTheme="minorHAnsi"/>
          <w:lang w:val="fr-FR"/>
        </w:rPr>
        <w:t xml:space="preserve">Diète </w:t>
      </w:r>
      <w:r w:rsidR="00DB2BC4" w:rsidRPr="00B95371">
        <w:rPr>
          <w:rFonts w:eastAsiaTheme="minorHAnsi"/>
          <w:lang w:val="fr-FR"/>
        </w:rPr>
        <w:t>mixte</w:t>
      </w:r>
    </w:p>
    <w:p w:rsidR="007B4876" w:rsidRPr="00B95371" w:rsidRDefault="007B4876" w:rsidP="007B4876">
      <w:pPr>
        <w:pStyle w:val="Paragraphedeliste"/>
        <w:widowControl/>
        <w:numPr>
          <w:ilvl w:val="0"/>
          <w:numId w:val="1"/>
        </w:numPr>
        <w:autoSpaceDE/>
        <w:autoSpaceDN/>
        <w:jc w:val="both"/>
        <w:rPr>
          <w:rFonts w:eastAsiaTheme="minorHAnsi"/>
          <w:lang w:val="fr-FR"/>
        </w:rPr>
      </w:pPr>
      <w:r w:rsidRPr="00B95371">
        <w:rPr>
          <w:rFonts w:eastAsiaTheme="minorHAnsi"/>
          <w:lang w:val="fr-FR"/>
        </w:rPr>
        <w:t>Instructions</w:t>
      </w:r>
    </w:p>
    <w:p w:rsidR="007B4876" w:rsidRPr="00B95371" w:rsidRDefault="007B4876" w:rsidP="007B4876">
      <w:pPr>
        <w:pStyle w:val="Paragraphedeliste"/>
        <w:widowControl/>
        <w:numPr>
          <w:ilvl w:val="0"/>
          <w:numId w:val="2"/>
        </w:numPr>
        <w:autoSpaceDE/>
        <w:autoSpaceDN/>
        <w:jc w:val="both"/>
        <w:rPr>
          <w:rFonts w:eastAsiaTheme="minorHAnsi"/>
          <w:lang w:val="fr-FR"/>
        </w:rPr>
      </w:pPr>
      <w:r w:rsidRPr="00B95371">
        <w:rPr>
          <w:rFonts w:eastAsiaTheme="minorHAnsi"/>
          <w:lang w:val="fr-FR"/>
        </w:rPr>
        <w:t>Monitoring des signes vitaux</w:t>
      </w:r>
      <w:r w:rsidR="00DB2BC4" w:rsidRPr="00B95371">
        <w:rPr>
          <w:rFonts w:eastAsiaTheme="minorHAnsi"/>
          <w:lang w:val="fr-FR"/>
        </w:rPr>
        <w:t xml:space="preserve"> Q 4 heures (TA, FC, FR, SaO2, T</w:t>
      </w:r>
      <w:r w:rsidR="003720E7" w:rsidRPr="00B95371">
        <w:rPr>
          <w:rFonts w:eastAsiaTheme="minorHAnsi"/>
          <w:lang w:val="fr-FR"/>
        </w:rPr>
        <w:sym w:font="Symbol" w:char="F0B0"/>
      </w:r>
      <w:r w:rsidR="00DB2BC4" w:rsidRPr="00B95371">
        <w:rPr>
          <w:rFonts w:eastAsiaTheme="minorHAnsi"/>
          <w:lang w:val="fr-FR"/>
        </w:rPr>
        <w:t xml:space="preserve">)     </w:t>
      </w:r>
    </w:p>
    <w:p w:rsidR="007B4876" w:rsidRPr="00B95371" w:rsidRDefault="007B4876" w:rsidP="00F36D11">
      <w:pPr>
        <w:pStyle w:val="Paragraphedeliste"/>
        <w:widowControl/>
        <w:numPr>
          <w:ilvl w:val="0"/>
          <w:numId w:val="2"/>
        </w:numPr>
        <w:autoSpaceDE/>
        <w:autoSpaceDN/>
        <w:jc w:val="both"/>
        <w:rPr>
          <w:rFonts w:eastAsiaTheme="minorHAnsi"/>
          <w:lang w:val="fr-FR"/>
        </w:rPr>
      </w:pPr>
      <w:r w:rsidRPr="00B95371">
        <w:rPr>
          <w:rFonts w:eastAsiaTheme="minorHAnsi"/>
          <w:lang w:val="fr-FR"/>
        </w:rPr>
        <w:t xml:space="preserve">Surveiller </w:t>
      </w:r>
      <w:r w:rsidR="00F36D11" w:rsidRPr="00B95371">
        <w:rPr>
          <w:rFonts w:eastAsiaTheme="minorHAnsi"/>
          <w:lang w:val="fr-FR"/>
        </w:rPr>
        <w:t xml:space="preserve">signes de détresse respiratoire, état neurologique, Contrôle </w:t>
      </w:r>
      <w:r w:rsidR="009502B1" w:rsidRPr="00B95371">
        <w:rPr>
          <w:rFonts w:eastAsiaTheme="minorHAnsi"/>
          <w:lang w:val="fr-FR"/>
        </w:rPr>
        <w:t xml:space="preserve">strict </w:t>
      </w:r>
      <w:proofErr w:type="spellStart"/>
      <w:r w:rsidR="00F36D11" w:rsidRPr="00B95371">
        <w:rPr>
          <w:rFonts w:eastAsiaTheme="minorHAnsi"/>
          <w:lang w:val="fr-FR"/>
        </w:rPr>
        <w:t>ingestats</w:t>
      </w:r>
      <w:proofErr w:type="spellEnd"/>
      <w:r w:rsidR="00F36D11" w:rsidRPr="00B95371">
        <w:rPr>
          <w:rFonts w:eastAsiaTheme="minorHAnsi"/>
          <w:lang w:val="fr-FR"/>
        </w:rPr>
        <w:t xml:space="preserve"> et </w:t>
      </w:r>
      <w:proofErr w:type="spellStart"/>
      <w:r w:rsidR="00F36D11" w:rsidRPr="00B95371">
        <w:rPr>
          <w:rFonts w:eastAsiaTheme="minorHAnsi"/>
          <w:lang w:val="fr-FR"/>
        </w:rPr>
        <w:t>excrétats</w:t>
      </w:r>
      <w:proofErr w:type="spellEnd"/>
    </w:p>
    <w:p w:rsidR="007B4876" w:rsidRPr="00B95371" w:rsidRDefault="00DB2BC4" w:rsidP="007B4876">
      <w:pPr>
        <w:pStyle w:val="Paragraphedeliste"/>
        <w:widowControl/>
        <w:numPr>
          <w:ilvl w:val="0"/>
          <w:numId w:val="2"/>
        </w:numPr>
        <w:autoSpaceDE/>
        <w:autoSpaceDN/>
        <w:jc w:val="both"/>
        <w:rPr>
          <w:rFonts w:eastAsiaTheme="minorHAnsi"/>
          <w:lang w:val="fr-FR"/>
        </w:rPr>
      </w:pPr>
      <w:r w:rsidRPr="00B95371">
        <w:rPr>
          <w:rFonts w:eastAsiaTheme="minorHAnsi"/>
          <w:lang w:val="fr-FR"/>
        </w:rPr>
        <w:t>Oxygénothérapie si Spo2 &lt;95</w:t>
      </w:r>
      <w:r w:rsidR="007B4876" w:rsidRPr="00B95371">
        <w:rPr>
          <w:rFonts w:eastAsiaTheme="minorHAnsi"/>
          <w:lang w:val="fr-FR"/>
        </w:rPr>
        <w:t>%  et  FR &gt; 25 et/ou signes de détresse respiratoire : Canule nasale 1 à 5 l/mn, Masque facial simple  6 à 10 l/mn et  Masque facial avec réservoir 10 à 15 l/mn.</w:t>
      </w:r>
    </w:p>
    <w:p w:rsidR="007B4876" w:rsidRPr="00B95371" w:rsidRDefault="007B4876" w:rsidP="007B4876">
      <w:pPr>
        <w:pStyle w:val="Paragraphedeliste"/>
        <w:ind w:left="1170" w:firstLine="0"/>
        <w:jc w:val="both"/>
        <w:rPr>
          <w:lang w:val="fr-FR"/>
        </w:rPr>
      </w:pPr>
      <w:r w:rsidRPr="00B95371">
        <w:rPr>
          <w:lang w:val="fr-FR"/>
        </w:rPr>
        <w:t xml:space="preserve">Spo2 ˂ 90 % malgré </w:t>
      </w:r>
      <w:r w:rsidR="00FC7A46" w:rsidRPr="00B95371">
        <w:rPr>
          <w:lang w:val="fr-FR"/>
        </w:rPr>
        <w:t xml:space="preserve">15 L O2 sous </w:t>
      </w:r>
      <w:r w:rsidRPr="00B95371">
        <w:rPr>
          <w:lang w:val="fr-FR"/>
        </w:rPr>
        <w:t xml:space="preserve">masque à </w:t>
      </w:r>
      <w:r w:rsidR="00FC7A46" w:rsidRPr="00B95371">
        <w:rPr>
          <w:lang w:val="fr-FR"/>
        </w:rPr>
        <w:t xml:space="preserve">réservoir → </w:t>
      </w:r>
      <w:r w:rsidRPr="00B95371">
        <w:rPr>
          <w:lang w:val="fr-FR"/>
        </w:rPr>
        <w:t>transfert au niveau 2 pour assistance respiratoire.</w:t>
      </w:r>
    </w:p>
    <w:p w:rsidR="007B4876" w:rsidRPr="00B95371" w:rsidRDefault="007B4876" w:rsidP="007B4876">
      <w:pPr>
        <w:pStyle w:val="Paragraphedeliste"/>
        <w:ind w:left="1170" w:firstLine="0"/>
        <w:jc w:val="both"/>
        <w:rPr>
          <w:lang w:val="fr-FR"/>
        </w:rPr>
      </w:pPr>
      <w:r w:rsidRPr="00B95371">
        <w:rPr>
          <w:lang w:val="fr-FR"/>
        </w:rPr>
        <w:t>Nébulisation déconseillée, sauf indication formelle / protection des aérosols.</w:t>
      </w:r>
    </w:p>
    <w:p w:rsidR="007B4876" w:rsidRPr="00B95371" w:rsidRDefault="007B4876" w:rsidP="007B4876">
      <w:pPr>
        <w:pStyle w:val="Paragraphedeliste"/>
        <w:widowControl/>
        <w:numPr>
          <w:ilvl w:val="0"/>
          <w:numId w:val="2"/>
        </w:numPr>
        <w:autoSpaceDE/>
        <w:autoSpaceDN/>
        <w:jc w:val="both"/>
        <w:rPr>
          <w:rFonts w:eastAsiaTheme="minorHAnsi"/>
          <w:lang w:val="fr-FR"/>
        </w:rPr>
      </w:pPr>
      <w:r w:rsidRPr="00B95371">
        <w:rPr>
          <w:rFonts w:eastAsiaTheme="minorHAnsi"/>
          <w:lang w:val="fr-FR"/>
        </w:rPr>
        <w:t>Changement de position (Décubitus ventral)</w:t>
      </w:r>
      <w:r w:rsidR="009502B1" w:rsidRPr="00B95371">
        <w:rPr>
          <w:rFonts w:eastAsiaTheme="minorHAnsi"/>
          <w:lang w:val="fr-FR"/>
        </w:rPr>
        <w:t xml:space="preserve"> q 4 heures pendant 15 min au début et augmenter progressivement.</w:t>
      </w:r>
    </w:p>
    <w:p w:rsidR="007B4876" w:rsidRPr="00B95371" w:rsidRDefault="007B4876" w:rsidP="007B4876">
      <w:pPr>
        <w:pStyle w:val="Paragraphedeliste"/>
        <w:widowControl/>
        <w:numPr>
          <w:ilvl w:val="0"/>
          <w:numId w:val="2"/>
        </w:numPr>
        <w:autoSpaceDE/>
        <w:autoSpaceDN/>
        <w:jc w:val="both"/>
        <w:rPr>
          <w:rFonts w:eastAsiaTheme="minorHAnsi"/>
          <w:lang w:val="fr-FR"/>
        </w:rPr>
      </w:pPr>
      <w:r w:rsidRPr="00B95371">
        <w:rPr>
          <w:rFonts w:eastAsiaTheme="minorHAnsi"/>
          <w:lang w:val="fr-FR"/>
        </w:rPr>
        <w:t>Transfusion si anémie sévère ou suspicion de syndrome thoracique aigu (patient drépanocytaire)</w:t>
      </w:r>
    </w:p>
    <w:p w:rsidR="007B4876" w:rsidRPr="00B95371" w:rsidRDefault="007B4876" w:rsidP="007B4876">
      <w:pPr>
        <w:pStyle w:val="Paragraphedeliste"/>
        <w:widowControl/>
        <w:numPr>
          <w:ilvl w:val="0"/>
          <w:numId w:val="1"/>
        </w:numPr>
        <w:autoSpaceDE/>
        <w:autoSpaceDN/>
        <w:jc w:val="both"/>
        <w:rPr>
          <w:lang w:val="fr-FR"/>
        </w:rPr>
      </w:pPr>
      <w:r w:rsidRPr="00B95371">
        <w:rPr>
          <w:lang w:val="fr-FR"/>
        </w:rPr>
        <w:t>Médication</w:t>
      </w:r>
    </w:p>
    <w:p w:rsidR="001A0500" w:rsidRPr="00B95371" w:rsidRDefault="007B4876" w:rsidP="001A0500">
      <w:pPr>
        <w:pStyle w:val="Paragraphedeliste"/>
        <w:widowControl/>
        <w:numPr>
          <w:ilvl w:val="0"/>
          <w:numId w:val="3"/>
        </w:numPr>
        <w:autoSpaceDE/>
        <w:autoSpaceDN/>
        <w:ind w:left="1166" w:firstLine="0"/>
        <w:jc w:val="both"/>
        <w:rPr>
          <w:lang w:val="fr-FR"/>
        </w:rPr>
      </w:pPr>
      <w:r w:rsidRPr="00B95371">
        <w:rPr>
          <w:lang w:val="fr-FR"/>
        </w:rPr>
        <w:t>Paracétamol 500mg 3f/jr si T</w:t>
      </w:r>
      <w:r w:rsidRPr="00B95371">
        <w:rPr>
          <w:vertAlign w:val="superscript"/>
          <w:lang w:val="fr-FR"/>
        </w:rPr>
        <w:t xml:space="preserve">° </w:t>
      </w:r>
      <w:r w:rsidR="009502B1" w:rsidRPr="00B95371">
        <w:rPr>
          <w:lang w:val="fr-FR"/>
        </w:rPr>
        <w:t>≥</w:t>
      </w:r>
      <w:r w:rsidRPr="00B95371">
        <w:rPr>
          <w:lang w:val="fr-FR"/>
        </w:rPr>
        <w:t xml:space="preserve"> 38</w:t>
      </w:r>
      <w:r w:rsidRPr="00B95371">
        <w:rPr>
          <w:vertAlign w:val="superscript"/>
          <w:lang w:val="fr-FR"/>
        </w:rPr>
        <w:t>°</w:t>
      </w:r>
      <w:r w:rsidRPr="00B95371">
        <w:rPr>
          <w:lang w:val="fr-FR"/>
        </w:rPr>
        <w:t>C, la dose peut être doublée selon la</w:t>
      </w:r>
      <w:r w:rsidR="00DB2BC4" w:rsidRPr="00B95371">
        <w:rPr>
          <w:lang w:val="fr-FR"/>
        </w:rPr>
        <w:t xml:space="preserve"> réponse, ne pas</w:t>
      </w:r>
      <w:r w:rsidR="009502B1" w:rsidRPr="00B95371">
        <w:rPr>
          <w:lang w:val="fr-FR"/>
        </w:rPr>
        <w:t xml:space="preserve"> </w:t>
      </w:r>
      <w:r w:rsidRPr="00B95371">
        <w:rPr>
          <w:lang w:val="fr-FR"/>
        </w:rPr>
        <w:t>dépasser 4 grammes</w:t>
      </w:r>
      <w:r w:rsidR="009502B1" w:rsidRPr="00B95371">
        <w:rPr>
          <w:lang w:val="fr-FR"/>
        </w:rPr>
        <w:t xml:space="preserve"> par 24 heures. </w:t>
      </w:r>
    </w:p>
    <w:p w:rsidR="001A0500" w:rsidRPr="00B95371" w:rsidRDefault="00DB2BC4" w:rsidP="001A0500">
      <w:pPr>
        <w:pStyle w:val="Paragraphedeliste"/>
        <w:widowControl/>
        <w:numPr>
          <w:ilvl w:val="0"/>
          <w:numId w:val="3"/>
        </w:numPr>
        <w:autoSpaceDE/>
        <w:autoSpaceDN/>
        <w:jc w:val="both"/>
        <w:rPr>
          <w:lang w:val="fr-FR"/>
        </w:rPr>
      </w:pPr>
      <w:r w:rsidRPr="00B95371">
        <w:rPr>
          <w:lang w:val="fr-FR"/>
        </w:rPr>
        <w:t>Anti</w:t>
      </w:r>
      <w:r w:rsidR="000871C7" w:rsidRPr="00B95371">
        <w:rPr>
          <w:lang w:val="fr-FR"/>
        </w:rPr>
        <w:t>biotiques</w:t>
      </w:r>
      <w:r w:rsidR="00072D88" w:rsidRPr="00B95371">
        <w:rPr>
          <w:lang w:val="fr-FR"/>
        </w:rPr>
        <w:t>*</w:t>
      </w:r>
      <w:r w:rsidR="000871C7" w:rsidRPr="00B95371">
        <w:rPr>
          <w:lang w:val="fr-FR"/>
        </w:rPr>
        <w:t xml:space="preserve"> si : Suri</w:t>
      </w:r>
      <w:r w:rsidRPr="00B95371">
        <w:rPr>
          <w:lang w:val="fr-FR"/>
        </w:rPr>
        <w:t>nfection bactérienne</w:t>
      </w:r>
      <w:r w:rsidR="000871C7" w:rsidRPr="00B95371">
        <w:rPr>
          <w:lang w:val="fr-FR"/>
        </w:rPr>
        <w:t xml:space="preserve"> </w:t>
      </w:r>
      <w:r w:rsidR="00072D88" w:rsidRPr="00B95371">
        <w:rPr>
          <w:lang w:val="fr-FR"/>
        </w:rPr>
        <w:t xml:space="preserve">prouvée ou fortement </w:t>
      </w:r>
      <w:r w:rsidR="000871C7" w:rsidRPr="00B95371">
        <w:rPr>
          <w:lang w:val="fr-FR"/>
        </w:rPr>
        <w:t>suspectée</w:t>
      </w:r>
      <w:r w:rsidRPr="00B95371">
        <w:rPr>
          <w:lang w:val="fr-FR"/>
        </w:rPr>
        <w:t xml:space="preserve">, </w:t>
      </w:r>
      <w:r w:rsidR="00B00AC8" w:rsidRPr="00B95371">
        <w:rPr>
          <w:lang w:val="fr-FR"/>
        </w:rPr>
        <w:t>fièvre</w:t>
      </w:r>
      <w:r w:rsidRPr="00B95371">
        <w:rPr>
          <w:lang w:val="fr-FR"/>
        </w:rPr>
        <w:t xml:space="preserve"> </w:t>
      </w:r>
      <w:r w:rsidR="00B00AC8" w:rsidRPr="00B95371">
        <w:rPr>
          <w:lang w:val="fr-FR"/>
        </w:rPr>
        <w:t>persistante</w:t>
      </w:r>
      <w:r w:rsidR="005B5011" w:rsidRPr="00B95371">
        <w:rPr>
          <w:lang w:val="fr-FR"/>
        </w:rPr>
        <w:t xml:space="preserve"> malgré paracétamol</w:t>
      </w:r>
    </w:p>
    <w:p w:rsidR="007B4876" w:rsidRPr="00B95371" w:rsidRDefault="007B4876" w:rsidP="001A0500">
      <w:pPr>
        <w:pStyle w:val="Paragraphedeliste"/>
        <w:widowControl/>
        <w:autoSpaceDE/>
        <w:autoSpaceDN/>
        <w:ind w:left="1170" w:firstLine="0"/>
        <w:jc w:val="both"/>
        <w:rPr>
          <w:lang w:val="fr-FR"/>
        </w:rPr>
      </w:pPr>
      <w:r w:rsidRPr="00B95371">
        <w:rPr>
          <w:lang w:val="fr-FR"/>
        </w:rPr>
        <w:t xml:space="preserve">Azithromycine 500mg/j1, puis 250 </w:t>
      </w:r>
      <w:r w:rsidR="00DB2BC4" w:rsidRPr="00B95371">
        <w:rPr>
          <w:lang w:val="fr-FR"/>
        </w:rPr>
        <w:t xml:space="preserve">mg j2 à j5 ou doxycycline 100mg 2f/jr si </w:t>
      </w:r>
      <w:proofErr w:type="spellStart"/>
      <w:r w:rsidR="00DB2BC4" w:rsidRPr="00B95371">
        <w:rPr>
          <w:lang w:val="fr-FR"/>
        </w:rPr>
        <w:t>QTc</w:t>
      </w:r>
      <w:proofErr w:type="spellEnd"/>
      <w:r w:rsidR="00DB2BC4" w:rsidRPr="00B95371">
        <w:rPr>
          <w:lang w:val="fr-FR"/>
        </w:rPr>
        <w:t xml:space="preserve"> &gt;500ms</w:t>
      </w:r>
      <w:r w:rsidR="001A0500" w:rsidRPr="00B95371">
        <w:rPr>
          <w:lang w:val="fr-FR"/>
        </w:rPr>
        <w:t xml:space="preserve"> </w:t>
      </w:r>
      <w:r w:rsidR="001A0500" w:rsidRPr="00B95371">
        <w:rPr>
          <w:b/>
          <w:lang w:val="fr-FR"/>
        </w:rPr>
        <w:t>et</w:t>
      </w:r>
    </w:p>
    <w:p w:rsidR="007B4876" w:rsidRPr="00B95371" w:rsidRDefault="007B4876" w:rsidP="00DB2BC4">
      <w:pPr>
        <w:pStyle w:val="Paragraphedeliste"/>
        <w:widowControl/>
        <w:autoSpaceDE/>
        <w:autoSpaceDN/>
        <w:ind w:left="1170" w:firstLine="0"/>
        <w:jc w:val="both"/>
        <w:rPr>
          <w:lang w:val="fr-FR"/>
        </w:rPr>
      </w:pPr>
      <w:r w:rsidRPr="00B95371">
        <w:rPr>
          <w:lang w:val="fr-FR"/>
        </w:rPr>
        <w:t xml:space="preserve">Ceftriaxone 1g IV q12h pendant </w:t>
      </w:r>
      <w:r w:rsidR="00093E09" w:rsidRPr="00B95371">
        <w:rPr>
          <w:lang w:val="fr-FR"/>
        </w:rPr>
        <w:t>7</w:t>
      </w:r>
      <w:r w:rsidRPr="00B95371">
        <w:rPr>
          <w:lang w:val="fr-FR"/>
        </w:rPr>
        <w:t xml:space="preserve"> jours ou </w:t>
      </w:r>
      <w:proofErr w:type="spellStart"/>
      <w:r w:rsidRPr="00B95371">
        <w:rPr>
          <w:lang w:val="fr-FR"/>
        </w:rPr>
        <w:t>amo</w:t>
      </w:r>
      <w:r w:rsidR="00093E09" w:rsidRPr="00B95371">
        <w:rPr>
          <w:lang w:val="fr-FR"/>
        </w:rPr>
        <w:t>xiclav</w:t>
      </w:r>
      <w:proofErr w:type="spellEnd"/>
      <w:r w:rsidR="00093E09" w:rsidRPr="00B95371">
        <w:rPr>
          <w:lang w:val="fr-FR"/>
        </w:rPr>
        <w:t xml:space="preserve"> 1g PO q12h pendant 7</w:t>
      </w:r>
      <w:r w:rsidRPr="00B95371">
        <w:rPr>
          <w:lang w:val="fr-FR"/>
        </w:rPr>
        <w:t xml:space="preserve"> jours</w:t>
      </w:r>
    </w:p>
    <w:p w:rsidR="007B4876" w:rsidRPr="00B95371" w:rsidRDefault="007B4876" w:rsidP="007B4876">
      <w:pPr>
        <w:pStyle w:val="Paragraphedeliste"/>
        <w:widowControl/>
        <w:numPr>
          <w:ilvl w:val="0"/>
          <w:numId w:val="3"/>
        </w:numPr>
        <w:autoSpaceDE/>
        <w:autoSpaceDN/>
        <w:jc w:val="both"/>
        <w:rPr>
          <w:lang w:val="fr-FR"/>
        </w:rPr>
      </w:pPr>
      <w:r w:rsidRPr="00B95371">
        <w:rPr>
          <w:lang w:val="fr-FR"/>
        </w:rPr>
        <w:t>Vitamine D 1000 UI Q jour pendant 10 jours</w:t>
      </w:r>
    </w:p>
    <w:p w:rsidR="007B4876" w:rsidRPr="00B95371" w:rsidRDefault="003F14AE" w:rsidP="007B4876">
      <w:pPr>
        <w:pStyle w:val="Paragraphedeliste"/>
        <w:widowControl/>
        <w:numPr>
          <w:ilvl w:val="0"/>
          <w:numId w:val="3"/>
        </w:numPr>
        <w:autoSpaceDE/>
        <w:autoSpaceDN/>
        <w:jc w:val="both"/>
        <w:rPr>
          <w:lang w:val="fr-FR"/>
        </w:rPr>
      </w:pPr>
      <w:r w:rsidRPr="00B95371">
        <w:rPr>
          <w:lang w:val="fr-FR"/>
        </w:rPr>
        <w:t>Z</w:t>
      </w:r>
      <w:r w:rsidR="007B4876" w:rsidRPr="00B95371">
        <w:rPr>
          <w:lang w:val="fr-FR"/>
        </w:rPr>
        <w:t xml:space="preserve">inc </w:t>
      </w:r>
      <w:r w:rsidRPr="00B95371">
        <w:rPr>
          <w:lang w:val="fr-FR"/>
        </w:rPr>
        <w:t xml:space="preserve">élémentaire 80 mg /jour (4 </w:t>
      </w:r>
      <w:proofErr w:type="spellStart"/>
      <w:r w:rsidRPr="00B95371">
        <w:rPr>
          <w:lang w:val="fr-FR"/>
        </w:rPr>
        <w:t>co</w:t>
      </w:r>
      <w:proofErr w:type="spellEnd"/>
      <w:r w:rsidRPr="00B95371">
        <w:rPr>
          <w:lang w:val="fr-FR"/>
        </w:rPr>
        <w:t xml:space="preserve"> de 20 mg) correspond à </w:t>
      </w:r>
      <w:r w:rsidR="007B4876" w:rsidRPr="00B95371">
        <w:rPr>
          <w:lang w:val="fr-FR"/>
        </w:rPr>
        <w:t xml:space="preserve">220 mg </w:t>
      </w:r>
      <w:r w:rsidRPr="00B95371">
        <w:rPr>
          <w:lang w:val="fr-FR"/>
        </w:rPr>
        <w:t xml:space="preserve">de sulfate de zinc </w:t>
      </w:r>
      <w:r w:rsidR="00F36D11" w:rsidRPr="00B95371">
        <w:rPr>
          <w:lang w:val="fr-FR"/>
        </w:rPr>
        <w:t>monohydraté</w:t>
      </w:r>
    </w:p>
    <w:p w:rsidR="007B4876" w:rsidRPr="00B95371" w:rsidRDefault="007B4876" w:rsidP="007B4876">
      <w:pPr>
        <w:pStyle w:val="Paragraphedeliste"/>
        <w:widowControl/>
        <w:numPr>
          <w:ilvl w:val="0"/>
          <w:numId w:val="3"/>
        </w:numPr>
        <w:autoSpaceDE/>
        <w:autoSpaceDN/>
        <w:jc w:val="both"/>
      </w:pPr>
      <w:proofErr w:type="spellStart"/>
      <w:r w:rsidRPr="00B95371">
        <w:t>Vitamine</w:t>
      </w:r>
      <w:proofErr w:type="spellEnd"/>
      <w:r w:rsidRPr="00B95371">
        <w:t xml:space="preserve"> C 1000 mg q AM </w:t>
      </w:r>
      <w:r w:rsidRPr="00B95371">
        <w:rPr>
          <w:lang w:val="fr-FR"/>
        </w:rPr>
        <w:t>pendant l’hospitalisation</w:t>
      </w:r>
    </w:p>
    <w:p w:rsidR="007B4876" w:rsidRPr="00B95371" w:rsidRDefault="007B4876" w:rsidP="007B4876">
      <w:pPr>
        <w:pStyle w:val="Paragraphedeliste"/>
        <w:widowControl/>
        <w:numPr>
          <w:ilvl w:val="0"/>
          <w:numId w:val="3"/>
        </w:numPr>
        <w:autoSpaceDE/>
        <w:autoSpaceDN/>
        <w:jc w:val="both"/>
        <w:rPr>
          <w:lang w:val="fr-FR"/>
        </w:rPr>
      </w:pPr>
      <w:r w:rsidRPr="00B95371">
        <w:rPr>
          <w:lang w:val="fr-FR"/>
        </w:rPr>
        <w:t>Antihypertenseur si Hypertension artérielle</w:t>
      </w:r>
      <w:r w:rsidR="00093E09" w:rsidRPr="00B95371">
        <w:rPr>
          <w:lang w:val="fr-FR"/>
        </w:rPr>
        <w:t> :</w:t>
      </w:r>
    </w:p>
    <w:p w:rsidR="005B5011" w:rsidRPr="00B95371" w:rsidRDefault="003F637D" w:rsidP="005B5011">
      <w:pPr>
        <w:pStyle w:val="Paragraphedeliste"/>
        <w:widowControl/>
        <w:autoSpaceDE/>
        <w:autoSpaceDN/>
        <w:ind w:left="1170" w:firstLine="0"/>
        <w:jc w:val="both"/>
        <w:rPr>
          <w:lang w:val="fr-FR"/>
        </w:rPr>
      </w:pPr>
      <w:r w:rsidRPr="00B95371">
        <w:rPr>
          <w:lang w:val="fr-FR"/>
        </w:rPr>
        <w:t>Si ˂ 60 ans : TA cible ˂ 140/90</w:t>
      </w:r>
      <w:r w:rsidR="009502B1" w:rsidRPr="00B95371">
        <w:rPr>
          <w:lang w:val="fr-FR"/>
        </w:rPr>
        <w:tab/>
      </w:r>
      <w:r w:rsidRPr="00B95371">
        <w:rPr>
          <w:lang w:val="fr-FR"/>
        </w:rPr>
        <w:t>Si &gt; 60 ans : TA cible ˂ 150/90</w:t>
      </w:r>
    </w:p>
    <w:p w:rsidR="003F637D" w:rsidRPr="00B95371" w:rsidRDefault="003F637D" w:rsidP="003F637D">
      <w:pPr>
        <w:pStyle w:val="Paragraphedeliste"/>
        <w:widowControl/>
        <w:autoSpaceDE/>
        <w:autoSpaceDN/>
        <w:ind w:left="1170" w:firstLine="0"/>
        <w:jc w:val="both"/>
        <w:rPr>
          <w:lang w:val="fr-FR"/>
        </w:rPr>
      </w:pPr>
      <w:r w:rsidRPr="00B95371">
        <w:rPr>
          <w:lang w:val="fr-FR"/>
        </w:rPr>
        <w:t>Si AVC aigu, commencer les antihypertenseurs lorsque la TA &gt; 220/1</w:t>
      </w:r>
      <w:r w:rsidR="000E6937" w:rsidRPr="00B95371">
        <w:rPr>
          <w:lang w:val="fr-FR"/>
        </w:rPr>
        <w:t>2</w:t>
      </w:r>
      <w:r w:rsidRPr="00B95371">
        <w:rPr>
          <w:lang w:val="fr-FR"/>
        </w:rPr>
        <w:t>0</w:t>
      </w:r>
      <w:r w:rsidR="00FC7A46" w:rsidRPr="00B95371">
        <w:rPr>
          <w:lang w:val="fr-FR"/>
        </w:rPr>
        <w:t xml:space="preserve"> mm Hg pour maintenir la TA autour de 180-220 et 100-120 mm Hg</w:t>
      </w:r>
    </w:p>
    <w:p w:rsidR="007B4876" w:rsidRPr="00B95371" w:rsidRDefault="007B4876" w:rsidP="007B4876">
      <w:pPr>
        <w:pStyle w:val="Paragraphedeliste"/>
        <w:widowControl/>
        <w:numPr>
          <w:ilvl w:val="0"/>
          <w:numId w:val="3"/>
        </w:numPr>
        <w:autoSpaceDE/>
        <w:autoSpaceDN/>
        <w:jc w:val="both"/>
        <w:rPr>
          <w:lang w:val="fr-FR"/>
        </w:rPr>
      </w:pPr>
      <w:r w:rsidRPr="00B95371">
        <w:rPr>
          <w:lang w:val="fr-FR"/>
        </w:rPr>
        <w:t>Insulinothérap</w:t>
      </w:r>
      <w:r w:rsidR="001A0500" w:rsidRPr="00B95371">
        <w:rPr>
          <w:lang w:val="fr-FR"/>
        </w:rPr>
        <w:t>ie si diabétique : Insuline 70/30</w:t>
      </w:r>
      <w:r w:rsidR="000E6937" w:rsidRPr="00B95371">
        <w:rPr>
          <w:lang w:val="fr-FR"/>
        </w:rPr>
        <w:t xml:space="preserve"> </w:t>
      </w:r>
      <w:r w:rsidR="001A0500" w:rsidRPr="00B95371">
        <w:rPr>
          <w:lang w:val="fr-FR"/>
        </w:rPr>
        <w:t>→</w:t>
      </w:r>
      <w:r w:rsidR="000E6937" w:rsidRPr="00B95371">
        <w:rPr>
          <w:lang w:val="fr-FR"/>
        </w:rPr>
        <w:t xml:space="preserve"> </w:t>
      </w:r>
      <w:r w:rsidR="001A0500" w:rsidRPr="00B95371">
        <w:rPr>
          <w:lang w:val="fr-FR"/>
        </w:rPr>
        <w:t>0.5 à 0.6 UI/ kg : 2/3 AM et 1/3 Soir en S/C</w:t>
      </w:r>
    </w:p>
    <w:p w:rsidR="00B00AC8" w:rsidRPr="00B95371" w:rsidRDefault="001A0500" w:rsidP="001A0500">
      <w:pPr>
        <w:pStyle w:val="Paragraphedeliste"/>
        <w:widowControl/>
        <w:autoSpaceDE/>
        <w:autoSpaceDN/>
        <w:ind w:left="1170" w:firstLine="0"/>
        <w:jc w:val="both"/>
        <w:rPr>
          <w:lang w:val="fr-FR"/>
        </w:rPr>
      </w:pPr>
      <w:r w:rsidRPr="00B95371">
        <w:rPr>
          <w:lang w:val="fr-FR"/>
        </w:rPr>
        <w:t xml:space="preserve">Et </w:t>
      </w:r>
      <w:r w:rsidR="00B00AC8" w:rsidRPr="00B95371">
        <w:rPr>
          <w:lang w:val="fr-FR"/>
        </w:rPr>
        <w:t>échelle</w:t>
      </w:r>
      <w:r w:rsidRPr="00B95371">
        <w:rPr>
          <w:lang w:val="fr-FR"/>
        </w:rPr>
        <w:t xml:space="preserve"> d’</w:t>
      </w:r>
      <w:r w:rsidR="00B00AC8" w:rsidRPr="00B95371">
        <w:rPr>
          <w:lang w:val="fr-FR"/>
        </w:rPr>
        <w:t>ajustement à</w:t>
      </w:r>
      <w:r w:rsidRPr="00B95371">
        <w:rPr>
          <w:lang w:val="fr-FR"/>
        </w:rPr>
        <w:t xml:space="preserve"> l’insuline R</w:t>
      </w:r>
      <w:r w:rsidR="00B00AC8" w:rsidRPr="00B95371">
        <w:rPr>
          <w:lang w:val="fr-FR"/>
        </w:rPr>
        <w:t xml:space="preserve"> en S/C Q 4 heures</w:t>
      </w:r>
    </w:p>
    <w:tbl>
      <w:tblPr>
        <w:tblStyle w:val="Grilledutableau"/>
        <w:tblW w:w="0" w:type="auto"/>
        <w:tblInd w:w="1170" w:type="dxa"/>
        <w:tblLook w:val="04A0" w:firstRow="1" w:lastRow="0" w:firstColumn="1" w:lastColumn="0" w:noHBand="0" w:noVBand="1"/>
      </w:tblPr>
      <w:tblGrid>
        <w:gridCol w:w="1728"/>
        <w:gridCol w:w="990"/>
        <w:gridCol w:w="1080"/>
        <w:gridCol w:w="1170"/>
        <w:gridCol w:w="1170"/>
        <w:gridCol w:w="1170"/>
        <w:gridCol w:w="1098"/>
      </w:tblGrid>
      <w:tr w:rsidR="00B00AC8" w:rsidRPr="00B95371" w:rsidTr="00F36D11">
        <w:trPr>
          <w:trHeight w:val="70"/>
        </w:trPr>
        <w:tc>
          <w:tcPr>
            <w:tcW w:w="1728" w:type="dxa"/>
          </w:tcPr>
          <w:p w:rsidR="00B00AC8" w:rsidRPr="00B95371" w:rsidRDefault="00B00AC8" w:rsidP="001A0500">
            <w:pPr>
              <w:pStyle w:val="Paragraphedeliste"/>
              <w:widowControl/>
              <w:autoSpaceDE/>
              <w:autoSpaceDN/>
              <w:ind w:left="0" w:firstLine="0"/>
              <w:jc w:val="both"/>
              <w:rPr>
                <w:lang w:val="fr-FR"/>
              </w:rPr>
            </w:pPr>
            <w:r w:rsidRPr="00B95371">
              <w:rPr>
                <w:lang w:val="fr-FR"/>
              </w:rPr>
              <w:t xml:space="preserve">Glycémie </w:t>
            </w:r>
            <w:r w:rsidRPr="00B95371">
              <w:rPr>
                <w:b/>
                <w:lang w:val="fr-FR"/>
              </w:rPr>
              <w:t>mg/dl</w:t>
            </w:r>
          </w:p>
        </w:tc>
        <w:tc>
          <w:tcPr>
            <w:tcW w:w="990" w:type="dxa"/>
          </w:tcPr>
          <w:p w:rsidR="00B00AC8" w:rsidRPr="00B95371" w:rsidRDefault="00B00AC8" w:rsidP="001A0500">
            <w:pPr>
              <w:pStyle w:val="Paragraphedeliste"/>
              <w:widowControl/>
              <w:autoSpaceDE/>
              <w:autoSpaceDN/>
              <w:ind w:left="0" w:firstLine="0"/>
              <w:jc w:val="both"/>
              <w:rPr>
                <w:lang w:val="fr-FR"/>
              </w:rPr>
            </w:pPr>
            <w:r w:rsidRPr="00B95371">
              <w:rPr>
                <w:lang w:val="fr-FR"/>
              </w:rPr>
              <w:t>151-200</w:t>
            </w:r>
          </w:p>
        </w:tc>
        <w:tc>
          <w:tcPr>
            <w:tcW w:w="1080" w:type="dxa"/>
          </w:tcPr>
          <w:p w:rsidR="00B00AC8" w:rsidRPr="00B95371" w:rsidRDefault="00B00AC8" w:rsidP="001A0500">
            <w:pPr>
              <w:pStyle w:val="Paragraphedeliste"/>
              <w:widowControl/>
              <w:autoSpaceDE/>
              <w:autoSpaceDN/>
              <w:ind w:left="0" w:firstLine="0"/>
              <w:jc w:val="both"/>
              <w:rPr>
                <w:lang w:val="fr-FR"/>
              </w:rPr>
            </w:pPr>
            <w:r w:rsidRPr="00B95371">
              <w:rPr>
                <w:lang w:val="fr-FR"/>
              </w:rPr>
              <w:t>201-250</w:t>
            </w:r>
          </w:p>
        </w:tc>
        <w:tc>
          <w:tcPr>
            <w:tcW w:w="1170" w:type="dxa"/>
          </w:tcPr>
          <w:p w:rsidR="00B00AC8" w:rsidRPr="00B95371" w:rsidRDefault="00B00AC8" w:rsidP="001A0500">
            <w:pPr>
              <w:pStyle w:val="Paragraphedeliste"/>
              <w:widowControl/>
              <w:autoSpaceDE/>
              <w:autoSpaceDN/>
              <w:ind w:left="0" w:firstLine="0"/>
              <w:jc w:val="both"/>
              <w:rPr>
                <w:lang w:val="fr-FR"/>
              </w:rPr>
            </w:pPr>
            <w:r w:rsidRPr="00B95371">
              <w:rPr>
                <w:lang w:val="fr-FR"/>
              </w:rPr>
              <w:t>251 - 300</w:t>
            </w:r>
          </w:p>
        </w:tc>
        <w:tc>
          <w:tcPr>
            <w:tcW w:w="1170" w:type="dxa"/>
          </w:tcPr>
          <w:p w:rsidR="00B00AC8" w:rsidRPr="00B95371" w:rsidRDefault="00B00AC8" w:rsidP="001A0500">
            <w:pPr>
              <w:pStyle w:val="Paragraphedeliste"/>
              <w:widowControl/>
              <w:autoSpaceDE/>
              <w:autoSpaceDN/>
              <w:ind w:left="0" w:firstLine="0"/>
              <w:jc w:val="both"/>
              <w:rPr>
                <w:lang w:val="fr-FR"/>
              </w:rPr>
            </w:pPr>
            <w:r w:rsidRPr="00B95371">
              <w:rPr>
                <w:lang w:val="fr-FR"/>
              </w:rPr>
              <w:t>301 - 350</w:t>
            </w:r>
          </w:p>
        </w:tc>
        <w:tc>
          <w:tcPr>
            <w:tcW w:w="1170" w:type="dxa"/>
          </w:tcPr>
          <w:p w:rsidR="00B00AC8" w:rsidRPr="00B95371" w:rsidRDefault="00B00AC8" w:rsidP="001A0500">
            <w:pPr>
              <w:pStyle w:val="Paragraphedeliste"/>
              <w:widowControl/>
              <w:autoSpaceDE/>
              <w:autoSpaceDN/>
              <w:ind w:left="0" w:firstLine="0"/>
              <w:jc w:val="both"/>
              <w:rPr>
                <w:lang w:val="fr-FR"/>
              </w:rPr>
            </w:pPr>
            <w:r w:rsidRPr="00B95371">
              <w:rPr>
                <w:lang w:val="fr-FR"/>
              </w:rPr>
              <w:t>351 – 400</w:t>
            </w:r>
          </w:p>
        </w:tc>
        <w:tc>
          <w:tcPr>
            <w:tcW w:w="1098" w:type="dxa"/>
          </w:tcPr>
          <w:p w:rsidR="00B00AC8" w:rsidRPr="00B95371" w:rsidRDefault="00B00AC8" w:rsidP="00B00AC8">
            <w:pPr>
              <w:jc w:val="both"/>
              <w:rPr>
                <w:lang w:val="fr-FR"/>
              </w:rPr>
            </w:pPr>
            <w:r w:rsidRPr="00B95371">
              <w:rPr>
                <w:rFonts w:cstheme="minorHAnsi"/>
                <w:lang w:val="fr-FR"/>
              </w:rPr>
              <w:t>&gt;</w:t>
            </w:r>
            <w:r w:rsidRPr="00B95371">
              <w:rPr>
                <w:lang w:val="fr-FR"/>
              </w:rPr>
              <w:t>400</w:t>
            </w:r>
          </w:p>
        </w:tc>
      </w:tr>
      <w:tr w:rsidR="00B00AC8" w:rsidRPr="00B95371" w:rsidTr="00B00AC8">
        <w:tc>
          <w:tcPr>
            <w:tcW w:w="1728" w:type="dxa"/>
          </w:tcPr>
          <w:p w:rsidR="00B00AC8" w:rsidRPr="00B95371" w:rsidRDefault="00B00AC8" w:rsidP="001A0500">
            <w:pPr>
              <w:pStyle w:val="Paragraphedeliste"/>
              <w:widowControl/>
              <w:autoSpaceDE/>
              <w:autoSpaceDN/>
              <w:ind w:left="0" w:firstLine="0"/>
              <w:jc w:val="both"/>
              <w:rPr>
                <w:lang w:val="fr-FR"/>
              </w:rPr>
            </w:pPr>
            <w:r w:rsidRPr="00B95371">
              <w:rPr>
                <w:lang w:val="fr-FR"/>
              </w:rPr>
              <w:t xml:space="preserve">Insuline R </w:t>
            </w:r>
            <w:r w:rsidRPr="00B95371">
              <w:rPr>
                <w:b/>
                <w:lang w:val="fr-FR"/>
              </w:rPr>
              <w:t>UI</w:t>
            </w:r>
          </w:p>
        </w:tc>
        <w:tc>
          <w:tcPr>
            <w:tcW w:w="990" w:type="dxa"/>
          </w:tcPr>
          <w:p w:rsidR="00B00AC8" w:rsidRPr="00B95371" w:rsidRDefault="00B00AC8" w:rsidP="00B00AC8">
            <w:pPr>
              <w:pStyle w:val="Paragraphedeliste"/>
              <w:widowControl/>
              <w:autoSpaceDE/>
              <w:autoSpaceDN/>
              <w:ind w:left="0" w:firstLine="0"/>
              <w:jc w:val="center"/>
              <w:rPr>
                <w:lang w:val="fr-FR"/>
              </w:rPr>
            </w:pPr>
            <w:r w:rsidRPr="00B95371">
              <w:rPr>
                <w:lang w:val="fr-FR"/>
              </w:rPr>
              <w:t>2</w:t>
            </w:r>
          </w:p>
        </w:tc>
        <w:tc>
          <w:tcPr>
            <w:tcW w:w="1080" w:type="dxa"/>
          </w:tcPr>
          <w:p w:rsidR="00B00AC8" w:rsidRPr="00B95371" w:rsidRDefault="00B00AC8" w:rsidP="00B00AC8">
            <w:pPr>
              <w:pStyle w:val="Paragraphedeliste"/>
              <w:widowControl/>
              <w:autoSpaceDE/>
              <w:autoSpaceDN/>
              <w:ind w:left="0" w:firstLine="0"/>
              <w:jc w:val="center"/>
              <w:rPr>
                <w:lang w:val="fr-FR"/>
              </w:rPr>
            </w:pPr>
            <w:r w:rsidRPr="00B95371">
              <w:rPr>
                <w:lang w:val="fr-FR"/>
              </w:rPr>
              <w:t>4</w:t>
            </w:r>
          </w:p>
        </w:tc>
        <w:tc>
          <w:tcPr>
            <w:tcW w:w="1170" w:type="dxa"/>
          </w:tcPr>
          <w:p w:rsidR="00B00AC8" w:rsidRPr="00B95371" w:rsidRDefault="00B00AC8" w:rsidP="00B00AC8">
            <w:pPr>
              <w:pStyle w:val="Paragraphedeliste"/>
              <w:widowControl/>
              <w:autoSpaceDE/>
              <w:autoSpaceDN/>
              <w:ind w:left="0" w:firstLine="0"/>
              <w:jc w:val="center"/>
              <w:rPr>
                <w:lang w:val="fr-FR"/>
              </w:rPr>
            </w:pPr>
            <w:r w:rsidRPr="00B95371">
              <w:rPr>
                <w:lang w:val="fr-FR"/>
              </w:rPr>
              <w:t>6</w:t>
            </w:r>
          </w:p>
        </w:tc>
        <w:tc>
          <w:tcPr>
            <w:tcW w:w="1170" w:type="dxa"/>
          </w:tcPr>
          <w:p w:rsidR="00B00AC8" w:rsidRPr="00B95371" w:rsidRDefault="00B00AC8" w:rsidP="00B00AC8">
            <w:pPr>
              <w:pStyle w:val="Paragraphedeliste"/>
              <w:widowControl/>
              <w:autoSpaceDE/>
              <w:autoSpaceDN/>
              <w:ind w:left="0" w:firstLine="0"/>
              <w:jc w:val="center"/>
              <w:rPr>
                <w:lang w:val="fr-FR"/>
              </w:rPr>
            </w:pPr>
            <w:r w:rsidRPr="00B95371">
              <w:rPr>
                <w:lang w:val="fr-FR"/>
              </w:rPr>
              <w:t>8</w:t>
            </w:r>
          </w:p>
        </w:tc>
        <w:tc>
          <w:tcPr>
            <w:tcW w:w="1170" w:type="dxa"/>
          </w:tcPr>
          <w:p w:rsidR="00B00AC8" w:rsidRPr="00B95371" w:rsidRDefault="00B00AC8" w:rsidP="00B00AC8">
            <w:pPr>
              <w:pStyle w:val="Paragraphedeliste"/>
              <w:widowControl/>
              <w:autoSpaceDE/>
              <w:autoSpaceDN/>
              <w:ind w:left="0" w:firstLine="0"/>
              <w:jc w:val="center"/>
              <w:rPr>
                <w:lang w:val="fr-FR"/>
              </w:rPr>
            </w:pPr>
            <w:r w:rsidRPr="00B95371">
              <w:rPr>
                <w:lang w:val="fr-FR"/>
              </w:rPr>
              <w:t>10</w:t>
            </w:r>
          </w:p>
        </w:tc>
        <w:tc>
          <w:tcPr>
            <w:tcW w:w="1098" w:type="dxa"/>
          </w:tcPr>
          <w:p w:rsidR="00B00AC8" w:rsidRPr="00B95371" w:rsidRDefault="00B00AC8" w:rsidP="00B00AC8">
            <w:pPr>
              <w:pStyle w:val="Paragraphedeliste"/>
              <w:widowControl/>
              <w:autoSpaceDE/>
              <w:autoSpaceDN/>
              <w:ind w:left="0" w:firstLine="0"/>
              <w:jc w:val="center"/>
              <w:rPr>
                <w:lang w:val="fr-FR"/>
              </w:rPr>
            </w:pPr>
            <w:r w:rsidRPr="00B95371">
              <w:rPr>
                <w:lang w:val="fr-FR"/>
              </w:rPr>
              <w:t>12</w:t>
            </w:r>
          </w:p>
        </w:tc>
      </w:tr>
    </w:tbl>
    <w:p w:rsidR="001A0500" w:rsidRPr="00B95371" w:rsidRDefault="00F36D11" w:rsidP="001A0500">
      <w:pPr>
        <w:pStyle w:val="Paragraphedeliste"/>
        <w:widowControl/>
        <w:autoSpaceDE/>
        <w:autoSpaceDN/>
        <w:ind w:left="1170" w:firstLine="0"/>
        <w:jc w:val="both"/>
        <w:rPr>
          <w:lang w:val="fr-FR"/>
        </w:rPr>
      </w:pPr>
      <w:r w:rsidRPr="00B95371">
        <w:rPr>
          <w:lang w:val="fr-FR"/>
        </w:rPr>
        <w:t xml:space="preserve">NB : Voir protocole FHADIMAC Si acidocétose ou syndrome hyperosmolaire </w:t>
      </w:r>
    </w:p>
    <w:p w:rsidR="007B4876" w:rsidRPr="00B95371" w:rsidRDefault="007B4876" w:rsidP="007B4876">
      <w:pPr>
        <w:pStyle w:val="Paragraphedeliste"/>
        <w:widowControl/>
        <w:numPr>
          <w:ilvl w:val="0"/>
          <w:numId w:val="3"/>
        </w:numPr>
        <w:autoSpaceDE/>
        <w:autoSpaceDN/>
        <w:jc w:val="both"/>
        <w:rPr>
          <w:i/>
          <w:lang w:val="fr-FR"/>
        </w:rPr>
      </w:pPr>
      <w:r w:rsidRPr="00B95371">
        <w:rPr>
          <w:lang w:val="fr-FR"/>
        </w:rPr>
        <w:t>Inhalation de salbutamol ou de bromure d’</w:t>
      </w:r>
      <w:proofErr w:type="spellStart"/>
      <w:r w:rsidRPr="00B95371">
        <w:rPr>
          <w:lang w:val="fr-FR"/>
        </w:rPr>
        <w:t>ipratropium</w:t>
      </w:r>
      <w:proofErr w:type="spellEnd"/>
      <w:r w:rsidRPr="00B95371">
        <w:rPr>
          <w:lang w:val="fr-FR"/>
        </w:rPr>
        <w:t xml:space="preserve"> </w:t>
      </w:r>
      <w:r w:rsidR="00B00AC8" w:rsidRPr="00B95371">
        <w:rPr>
          <w:lang w:val="fr-FR"/>
        </w:rPr>
        <w:t xml:space="preserve">Q 20 mn </w:t>
      </w:r>
      <w:r w:rsidRPr="00B95371">
        <w:rPr>
          <w:lang w:val="fr-FR"/>
        </w:rPr>
        <w:t>(4 à 8 bouffées) si asthme ou BPCO</w:t>
      </w:r>
      <w:r w:rsidR="000E6937" w:rsidRPr="00B95371">
        <w:rPr>
          <w:lang w:val="fr-FR"/>
        </w:rPr>
        <w:t>.</w:t>
      </w:r>
      <w:r w:rsidR="00072D88" w:rsidRPr="00B95371">
        <w:rPr>
          <w:lang w:val="fr-FR"/>
        </w:rPr>
        <w:t xml:space="preserve"> Protection contre </w:t>
      </w:r>
      <w:r w:rsidR="006F0E85" w:rsidRPr="00B95371">
        <w:rPr>
          <w:lang w:val="fr-FR"/>
        </w:rPr>
        <w:t xml:space="preserve">les </w:t>
      </w:r>
      <w:proofErr w:type="spellStart"/>
      <w:r w:rsidR="00072D88" w:rsidRPr="00B95371">
        <w:rPr>
          <w:lang w:val="fr-FR"/>
        </w:rPr>
        <w:t>aerosols</w:t>
      </w:r>
      <w:proofErr w:type="spellEnd"/>
      <w:r w:rsidR="00072D88" w:rsidRPr="00B95371">
        <w:rPr>
          <w:lang w:val="fr-FR"/>
        </w:rPr>
        <w:t xml:space="preserve"> renforcée</w:t>
      </w:r>
    </w:p>
    <w:p w:rsidR="000871C7" w:rsidRPr="00B95371" w:rsidRDefault="000871C7" w:rsidP="000871C7">
      <w:pPr>
        <w:pStyle w:val="Paragraphedeliste"/>
        <w:widowControl/>
        <w:autoSpaceDE/>
        <w:autoSpaceDN/>
        <w:ind w:left="1170" w:firstLine="0"/>
        <w:jc w:val="both"/>
        <w:rPr>
          <w:lang w:val="fr-FR"/>
        </w:rPr>
      </w:pPr>
    </w:p>
    <w:p w:rsidR="000871C7" w:rsidRPr="00B95371" w:rsidRDefault="000871C7" w:rsidP="007F6080">
      <w:pPr>
        <w:jc w:val="both"/>
        <w:rPr>
          <w:i/>
          <w:lang w:val="fr-FR"/>
        </w:rPr>
      </w:pPr>
    </w:p>
    <w:p w:rsidR="00A36716" w:rsidRPr="00B95371" w:rsidRDefault="007B4876" w:rsidP="000871C7">
      <w:pPr>
        <w:pStyle w:val="Paragraphedeliste"/>
        <w:widowControl/>
        <w:numPr>
          <w:ilvl w:val="0"/>
          <w:numId w:val="3"/>
        </w:numPr>
        <w:autoSpaceDE/>
        <w:autoSpaceDN/>
        <w:jc w:val="both"/>
        <w:rPr>
          <w:lang w:val="fr-FR"/>
        </w:rPr>
      </w:pPr>
      <w:r w:rsidRPr="00B95371">
        <w:rPr>
          <w:lang w:val="fr-FR"/>
        </w:rPr>
        <w:lastRenderedPageBreak/>
        <w:t>Co</w:t>
      </w:r>
      <w:r w:rsidR="00A36716" w:rsidRPr="00B95371">
        <w:rPr>
          <w:lang w:val="fr-FR"/>
        </w:rPr>
        <w:t>rticothérapie</w:t>
      </w:r>
      <w:r w:rsidR="00093E09" w:rsidRPr="00B95371">
        <w:rPr>
          <w:lang w:val="fr-FR"/>
        </w:rPr>
        <w:t xml:space="preserve"> si : </w:t>
      </w:r>
    </w:p>
    <w:p w:rsidR="007B4876" w:rsidRPr="00B95371" w:rsidRDefault="00B00AC8" w:rsidP="00A36716">
      <w:pPr>
        <w:pStyle w:val="Paragraphedeliste"/>
        <w:widowControl/>
        <w:numPr>
          <w:ilvl w:val="0"/>
          <w:numId w:val="6"/>
        </w:numPr>
        <w:autoSpaceDE/>
        <w:autoSpaceDN/>
        <w:jc w:val="both"/>
        <w:rPr>
          <w:lang w:val="fr-FR"/>
        </w:rPr>
      </w:pPr>
      <w:r w:rsidRPr="00B95371">
        <w:rPr>
          <w:lang w:val="fr-FR"/>
        </w:rPr>
        <w:t>BPCO ou</w:t>
      </w:r>
      <w:r w:rsidR="001A0500" w:rsidRPr="00B95371">
        <w:rPr>
          <w:lang w:val="fr-FR"/>
        </w:rPr>
        <w:t xml:space="preserve"> asthme : Prednisone 40 à 60 mg /jour</w:t>
      </w:r>
      <w:r w:rsidR="00FC7A46" w:rsidRPr="00B95371">
        <w:rPr>
          <w:lang w:val="fr-FR"/>
        </w:rPr>
        <w:t xml:space="preserve"> ou dose équivalente</w:t>
      </w:r>
      <w:r w:rsidR="00A36716" w:rsidRPr="00B95371">
        <w:rPr>
          <w:lang w:val="fr-FR"/>
        </w:rPr>
        <w:t xml:space="preserve"> pendant 3 à 5 jours</w:t>
      </w:r>
    </w:p>
    <w:p w:rsidR="00C3303C" w:rsidRPr="00B95371" w:rsidRDefault="00C3303C" w:rsidP="00A36716">
      <w:pPr>
        <w:pStyle w:val="Paragraphedeliste"/>
        <w:widowControl/>
        <w:numPr>
          <w:ilvl w:val="0"/>
          <w:numId w:val="6"/>
        </w:numPr>
        <w:autoSpaceDE/>
        <w:autoSpaceDN/>
        <w:jc w:val="both"/>
        <w:rPr>
          <w:lang w:val="fr-FR"/>
        </w:rPr>
      </w:pPr>
      <w:r w:rsidRPr="00B95371">
        <w:rPr>
          <w:lang w:val="fr-FR"/>
        </w:rPr>
        <w:t xml:space="preserve">Corticothérapie pour COVID recommandée seulement chez les patients ayant 7-14 jours depuis le début des symptômes dans le contexte de l’aggravation de la fonction respiratoire et suggestion de tempête </w:t>
      </w:r>
      <w:r w:rsidR="00072D88" w:rsidRPr="00B95371">
        <w:rPr>
          <w:lang w:val="fr-FR"/>
        </w:rPr>
        <w:t>inflammatoire (</w:t>
      </w:r>
      <w:proofErr w:type="spellStart"/>
      <w:r w:rsidRPr="00B95371">
        <w:rPr>
          <w:lang w:val="fr-FR"/>
        </w:rPr>
        <w:t>cytokinique</w:t>
      </w:r>
      <w:proofErr w:type="spellEnd"/>
      <w:r w:rsidR="00072D88" w:rsidRPr="00B95371">
        <w:rPr>
          <w:lang w:val="fr-FR"/>
        </w:rPr>
        <w:t>)</w:t>
      </w:r>
      <w:r w:rsidRPr="00B95371">
        <w:rPr>
          <w:lang w:val="fr-FR"/>
        </w:rPr>
        <w:t>.</w:t>
      </w:r>
    </w:p>
    <w:p w:rsidR="00BF774D" w:rsidRPr="00B95371" w:rsidRDefault="00C3303C" w:rsidP="00A36716">
      <w:pPr>
        <w:pStyle w:val="Paragraphedeliste"/>
        <w:widowControl/>
        <w:numPr>
          <w:ilvl w:val="0"/>
          <w:numId w:val="6"/>
        </w:numPr>
        <w:autoSpaceDE/>
        <w:autoSpaceDN/>
        <w:jc w:val="both"/>
        <w:rPr>
          <w:lang w:val="fr-FR"/>
        </w:rPr>
      </w:pPr>
      <w:r w:rsidRPr="00B95371">
        <w:rPr>
          <w:lang w:val="fr-FR"/>
        </w:rPr>
        <w:t>Détresse respiratoire</w:t>
      </w:r>
      <w:r w:rsidR="00093E09" w:rsidRPr="00B95371">
        <w:rPr>
          <w:lang w:val="fr-FR"/>
        </w:rPr>
        <w:t xml:space="preserve"> </w:t>
      </w:r>
      <w:r w:rsidRPr="00B95371">
        <w:rPr>
          <w:lang w:val="fr-FR"/>
        </w:rPr>
        <w:t>sous</w:t>
      </w:r>
      <w:r w:rsidR="00093E09" w:rsidRPr="00B95371">
        <w:rPr>
          <w:lang w:val="fr-FR"/>
        </w:rPr>
        <w:t xml:space="preserve"> oxyg</w:t>
      </w:r>
      <w:r w:rsidRPr="00B95371">
        <w:rPr>
          <w:lang w:val="fr-FR"/>
        </w:rPr>
        <w:t>ène</w:t>
      </w:r>
      <w:r w:rsidR="00093E09" w:rsidRPr="00B95371">
        <w:rPr>
          <w:lang w:val="fr-FR"/>
        </w:rPr>
        <w:t xml:space="preserve"> </w:t>
      </w:r>
      <w:r w:rsidRPr="00B95371">
        <w:rPr>
          <w:lang w:val="fr-FR"/>
        </w:rPr>
        <w:t>et a</w:t>
      </w:r>
      <w:r w:rsidR="000871C7" w:rsidRPr="00B95371">
        <w:rPr>
          <w:lang w:val="fr-FR"/>
        </w:rPr>
        <w:t xml:space="preserve">bsence d’amélioration clinique et de la saturation malgré </w:t>
      </w:r>
      <w:r w:rsidR="000E6937" w:rsidRPr="00B95371">
        <w:rPr>
          <w:lang w:val="fr-FR"/>
        </w:rPr>
        <w:t xml:space="preserve">oxygénothérapie adéquate et prise en charge des </w:t>
      </w:r>
      <w:proofErr w:type="gramStart"/>
      <w:r w:rsidR="000E6937" w:rsidRPr="00B95371">
        <w:rPr>
          <w:lang w:val="fr-FR"/>
        </w:rPr>
        <w:t>comorbidités</w:t>
      </w:r>
      <w:r w:rsidR="00093E09" w:rsidRPr="00B95371">
        <w:rPr>
          <w:lang w:val="fr-FR"/>
        </w:rPr>
        <w:t>:</w:t>
      </w:r>
      <w:proofErr w:type="gramEnd"/>
      <w:r w:rsidR="00093E09" w:rsidRPr="00B95371">
        <w:rPr>
          <w:lang w:val="fr-FR"/>
        </w:rPr>
        <w:t xml:space="preserve"> </w:t>
      </w:r>
      <w:proofErr w:type="spellStart"/>
      <w:r w:rsidR="003720E7" w:rsidRPr="00B95371">
        <w:rPr>
          <w:lang w:val="fr-FR"/>
        </w:rPr>
        <w:t>d</w:t>
      </w:r>
      <w:r w:rsidR="00093E09" w:rsidRPr="00B95371">
        <w:rPr>
          <w:lang w:val="fr-FR"/>
        </w:rPr>
        <w:t>examéthasone</w:t>
      </w:r>
      <w:proofErr w:type="spellEnd"/>
      <w:r w:rsidR="00093E09" w:rsidRPr="00B95371">
        <w:rPr>
          <w:lang w:val="fr-FR"/>
        </w:rPr>
        <w:t xml:space="preserve"> 6mg</w:t>
      </w:r>
      <w:r w:rsidR="00072D88" w:rsidRPr="00B95371">
        <w:rPr>
          <w:lang w:val="fr-FR"/>
        </w:rPr>
        <w:t xml:space="preserve">/j </w:t>
      </w:r>
      <w:r w:rsidR="00093E09" w:rsidRPr="00B95371">
        <w:rPr>
          <w:lang w:val="fr-FR"/>
        </w:rPr>
        <w:t xml:space="preserve"> (IV</w:t>
      </w:r>
      <w:r w:rsidR="000E6937" w:rsidRPr="00B95371">
        <w:rPr>
          <w:lang w:val="fr-FR"/>
        </w:rPr>
        <w:t>, IM</w:t>
      </w:r>
      <w:r w:rsidR="00093E09" w:rsidRPr="00B95371">
        <w:rPr>
          <w:lang w:val="fr-FR"/>
        </w:rPr>
        <w:t xml:space="preserve"> ou PO) ou dose équivalente pendant 10 jours</w:t>
      </w:r>
      <w:r w:rsidR="00133A18" w:rsidRPr="00B95371">
        <w:rPr>
          <w:lang w:val="fr-FR"/>
        </w:rPr>
        <w:tab/>
      </w:r>
    </w:p>
    <w:p w:rsidR="007B4876" w:rsidRPr="00B95371" w:rsidRDefault="007B4876" w:rsidP="00BF774D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B95371">
        <w:rPr>
          <w:lang w:val="fr-FR"/>
        </w:rPr>
        <w:t xml:space="preserve">Vasopresseur si choc septique (Norépinephrine </w:t>
      </w:r>
      <w:r w:rsidRPr="00B95371">
        <w:rPr>
          <w:shd w:val="clear" w:color="auto" w:fill="F8F9FA"/>
          <w:lang w:val="fr-FR"/>
        </w:rPr>
        <w:t xml:space="preserve">0.01 – 3.3 </w:t>
      </w:r>
      <w:proofErr w:type="spellStart"/>
      <w:r w:rsidRPr="00B95371">
        <w:rPr>
          <w:shd w:val="clear" w:color="auto" w:fill="F8F9FA"/>
          <w:lang w:val="fr-FR"/>
        </w:rPr>
        <w:t>mcg</w:t>
      </w:r>
      <w:proofErr w:type="spellEnd"/>
      <w:r w:rsidRPr="00B95371">
        <w:rPr>
          <w:shd w:val="clear" w:color="auto" w:fill="F8F9FA"/>
          <w:lang w:val="fr-FR"/>
        </w:rPr>
        <w:t>/kg/min IV)</w:t>
      </w:r>
      <w:r w:rsidRPr="00B95371">
        <w:rPr>
          <w:lang w:val="fr-FR"/>
        </w:rPr>
        <w:t xml:space="preserve"> </w:t>
      </w:r>
    </w:p>
    <w:p w:rsidR="007B4876" w:rsidRPr="00B95371" w:rsidRDefault="007B4876" w:rsidP="007B4876">
      <w:pPr>
        <w:pStyle w:val="Paragraphedeliste"/>
        <w:widowControl/>
        <w:numPr>
          <w:ilvl w:val="0"/>
          <w:numId w:val="3"/>
        </w:numPr>
        <w:autoSpaceDE/>
        <w:autoSpaceDN/>
        <w:jc w:val="both"/>
        <w:rPr>
          <w:lang w:val="fr-FR"/>
        </w:rPr>
      </w:pPr>
      <w:r w:rsidRPr="00B95371">
        <w:rPr>
          <w:lang w:val="fr-FR"/>
        </w:rPr>
        <w:t>Diazépam 5mg IV</w:t>
      </w:r>
      <w:r w:rsidR="003720E7" w:rsidRPr="00B95371">
        <w:rPr>
          <w:lang w:val="fr-FR"/>
        </w:rPr>
        <w:t xml:space="preserve"> ou</w:t>
      </w:r>
      <w:r w:rsidR="000E6937" w:rsidRPr="00B95371">
        <w:rPr>
          <w:lang w:val="fr-FR"/>
        </w:rPr>
        <w:t xml:space="preserve"> IM</w:t>
      </w:r>
      <w:r w:rsidRPr="00B95371">
        <w:rPr>
          <w:lang w:val="fr-FR"/>
        </w:rPr>
        <w:t xml:space="preserve"> si convulsions</w:t>
      </w:r>
    </w:p>
    <w:p w:rsidR="007B4876" w:rsidRPr="00B95371" w:rsidRDefault="007B4876" w:rsidP="007B4876">
      <w:pPr>
        <w:pStyle w:val="Paragraphedeliste"/>
        <w:widowControl/>
        <w:numPr>
          <w:ilvl w:val="0"/>
          <w:numId w:val="3"/>
        </w:numPr>
        <w:autoSpaceDE/>
        <w:autoSpaceDN/>
        <w:jc w:val="both"/>
        <w:rPr>
          <w:lang w:val="fr-FR"/>
        </w:rPr>
      </w:pPr>
      <w:r w:rsidRPr="00B95371">
        <w:rPr>
          <w:lang w:val="fr-FR"/>
        </w:rPr>
        <w:t xml:space="preserve">Halopéridol 5mg PO/IM si agitation </w:t>
      </w:r>
    </w:p>
    <w:p w:rsidR="007B4876" w:rsidRPr="00B95371" w:rsidRDefault="007B4876" w:rsidP="007B4876">
      <w:pPr>
        <w:pStyle w:val="Paragraphedeliste"/>
        <w:widowControl/>
        <w:numPr>
          <w:ilvl w:val="0"/>
          <w:numId w:val="3"/>
        </w:numPr>
        <w:autoSpaceDE/>
        <w:autoSpaceDN/>
        <w:jc w:val="both"/>
        <w:rPr>
          <w:lang w:val="fr-FR"/>
        </w:rPr>
      </w:pPr>
      <w:proofErr w:type="spellStart"/>
      <w:r w:rsidRPr="00B95371">
        <w:rPr>
          <w:lang w:val="fr-FR"/>
        </w:rPr>
        <w:t>Héparino</w:t>
      </w:r>
      <w:r w:rsidR="000E6937" w:rsidRPr="00B95371">
        <w:rPr>
          <w:lang w:val="fr-FR"/>
        </w:rPr>
        <w:t>-</w:t>
      </w:r>
      <w:r w:rsidRPr="00B95371">
        <w:rPr>
          <w:lang w:val="fr-FR"/>
        </w:rPr>
        <w:t>propylaxie</w:t>
      </w:r>
      <w:proofErr w:type="spellEnd"/>
      <w:r w:rsidRPr="00B95371">
        <w:rPr>
          <w:lang w:val="fr-FR"/>
        </w:rPr>
        <w:t xml:space="preserve"> (Pendant l’hospitalisation) : </w:t>
      </w:r>
      <w:proofErr w:type="spellStart"/>
      <w:r w:rsidRPr="00B95371">
        <w:rPr>
          <w:lang w:val="fr-FR"/>
        </w:rPr>
        <w:t>Enoxaparine</w:t>
      </w:r>
      <w:proofErr w:type="spellEnd"/>
      <w:r w:rsidRPr="00B95371">
        <w:rPr>
          <w:lang w:val="fr-FR"/>
        </w:rPr>
        <w:t xml:space="preserve"> 40 mg s/c q24h ou héparine sodique 5000ui s/c q12h si </w:t>
      </w:r>
      <w:r w:rsidR="000E6937" w:rsidRPr="00B95371">
        <w:rPr>
          <w:lang w:val="fr-FR"/>
        </w:rPr>
        <w:t xml:space="preserve">insuffisance rénale avec </w:t>
      </w:r>
      <w:r w:rsidRPr="00B95371">
        <w:rPr>
          <w:lang w:val="fr-FR"/>
        </w:rPr>
        <w:t>MDRD&lt;30ml/mn/1.73m</w:t>
      </w:r>
      <w:r w:rsidRPr="00B95371">
        <w:rPr>
          <w:vertAlign w:val="superscript"/>
          <w:lang w:val="fr-FR"/>
        </w:rPr>
        <w:t>2</w:t>
      </w:r>
      <w:r w:rsidRPr="00B95371">
        <w:rPr>
          <w:lang w:val="fr-FR"/>
        </w:rPr>
        <w:t xml:space="preserve"> </w:t>
      </w:r>
    </w:p>
    <w:p w:rsidR="00FC7A46" w:rsidRPr="00B95371" w:rsidRDefault="007B4876" w:rsidP="00FC7A46">
      <w:pPr>
        <w:pStyle w:val="Paragraphedeliste"/>
        <w:widowControl/>
        <w:autoSpaceDE/>
        <w:autoSpaceDN/>
        <w:ind w:left="1170" w:firstLine="0"/>
        <w:jc w:val="both"/>
        <w:rPr>
          <w:lang w:val="fr-FR"/>
        </w:rPr>
      </w:pPr>
      <w:r w:rsidRPr="00B95371">
        <w:rPr>
          <w:lang w:val="fr-FR"/>
        </w:rPr>
        <w:t xml:space="preserve">Si suspicion d’embolie pulmonaire ou </w:t>
      </w:r>
      <w:r w:rsidR="000E6937" w:rsidRPr="00B95371">
        <w:rPr>
          <w:lang w:val="fr-FR"/>
        </w:rPr>
        <w:t>thrombose veineuse profonde</w:t>
      </w:r>
      <w:r w:rsidR="00605599" w:rsidRPr="00B95371">
        <w:rPr>
          <w:lang w:val="fr-FR"/>
        </w:rPr>
        <w:t xml:space="preserve"> transférer dans un centre de niveau 2</w:t>
      </w:r>
      <w:r w:rsidRPr="00B95371">
        <w:rPr>
          <w:lang w:val="fr-FR"/>
        </w:rPr>
        <w:t xml:space="preserve"> : </w:t>
      </w:r>
      <w:r w:rsidR="00605599" w:rsidRPr="00B95371">
        <w:rPr>
          <w:lang w:val="fr-FR"/>
        </w:rPr>
        <w:t xml:space="preserve">en attente du transfert faire </w:t>
      </w:r>
      <w:proofErr w:type="spellStart"/>
      <w:r w:rsidRPr="00B95371">
        <w:rPr>
          <w:lang w:val="fr-FR"/>
        </w:rPr>
        <w:t>Enoxaparine</w:t>
      </w:r>
      <w:proofErr w:type="spellEnd"/>
      <w:r w:rsidRPr="00B95371">
        <w:rPr>
          <w:lang w:val="fr-FR"/>
        </w:rPr>
        <w:t xml:space="preserve"> 1mg/kg s/c q 12h ou héparine sodique 8000 - 10000 UI IV en bolus puis 50-70 UI/kg IV q6h</w:t>
      </w:r>
      <w:r w:rsidR="00FC7A46" w:rsidRPr="00B95371">
        <w:rPr>
          <w:lang w:val="fr-FR"/>
        </w:rPr>
        <w:t>.</w:t>
      </w:r>
    </w:p>
    <w:p w:rsidR="007B4876" w:rsidRPr="00B95371" w:rsidRDefault="007B4876" w:rsidP="007B4876">
      <w:pPr>
        <w:pStyle w:val="Paragraphedeliste"/>
        <w:widowControl/>
        <w:numPr>
          <w:ilvl w:val="0"/>
          <w:numId w:val="3"/>
        </w:numPr>
        <w:autoSpaceDE/>
        <w:autoSpaceDN/>
        <w:jc w:val="both"/>
        <w:rPr>
          <w:lang w:val="fr-FR"/>
        </w:rPr>
      </w:pPr>
      <w:r w:rsidRPr="00B95371">
        <w:rPr>
          <w:lang w:val="fr-FR"/>
        </w:rPr>
        <w:t>Aspirine à faible dose (81mg</w:t>
      </w:r>
      <w:r w:rsidR="001A0500" w:rsidRPr="00B95371">
        <w:rPr>
          <w:lang w:val="fr-FR"/>
        </w:rPr>
        <w:t xml:space="preserve"> ou 100mg</w:t>
      </w:r>
      <w:r w:rsidRPr="00B95371">
        <w:rPr>
          <w:lang w:val="fr-FR"/>
        </w:rPr>
        <w:t xml:space="preserve"> /j) si anticoagulants non disponibles</w:t>
      </w:r>
    </w:p>
    <w:p w:rsidR="00F36D11" w:rsidRPr="00B95371" w:rsidRDefault="000871C7" w:rsidP="00FC7A46">
      <w:pPr>
        <w:pStyle w:val="Paragraphedeliste"/>
        <w:widowControl/>
        <w:numPr>
          <w:ilvl w:val="0"/>
          <w:numId w:val="1"/>
        </w:numPr>
        <w:autoSpaceDE/>
        <w:autoSpaceDN/>
        <w:jc w:val="both"/>
        <w:rPr>
          <w:lang w:val="fr-FR"/>
        </w:rPr>
      </w:pPr>
      <w:r w:rsidRPr="00B95371">
        <w:rPr>
          <w:lang w:val="fr-FR"/>
        </w:rPr>
        <w:t xml:space="preserve">Paraclinique </w:t>
      </w:r>
      <w:r w:rsidR="000E6937" w:rsidRPr="00B95371">
        <w:rPr>
          <w:lang w:val="fr-FR"/>
        </w:rPr>
        <w:t>recommandée</w:t>
      </w:r>
      <w:r w:rsidR="007B4876" w:rsidRPr="00B95371">
        <w:rPr>
          <w:lang w:val="fr-FR"/>
        </w:rPr>
        <w:t xml:space="preserve"> : </w:t>
      </w:r>
      <w:r w:rsidR="00B00AC8" w:rsidRPr="00B95371">
        <w:rPr>
          <w:lang w:val="fr-FR"/>
        </w:rPr>
        <w:t xml:space="preserve">Hémogramme </w:t>
      </w:r>
      <w:r w:rsidR="007B4876" w:rsidRPr="00B95371">
        <w:rPr>
          <w:lang w:val="fr-FR"/>
        </w:rPr>
        <w:t xml:space="preserve">complet, </w:t>
      </w:r>
      <w:r w:rsidR="00BF774D" w:rsidRPr="00B95371">
        <w:rPr>
          <w:lang w:val="fr-FR"/>
        </w:rPr>
        <w:t>créatinine</w:t>
      </w:r>
      <w:r w:rsidR="007B4876" w:rsidRPr="00B95371">
        <w:rPr>
          <w:lang w:val="fr-FR"/>
        </w:rPr>
        <w:t>,</w:t>
      </w:r>
      <w:r w:rsidR="00B00AC8" w:rsidRPr="00B95371">
        <w:rPr>
          <w:lang w:val="fr-FR"/>
        </w:rPr>
        <w:t xml:space="preserve"> glycémie, </w:t>
      </w:r>
      <w:proofErr w:type="spellStart"/>
      <w:r w:rsidR="00B00AC8" w:rsidRPr="00B95371">
        <w:rPr>
          <w:lang w:val="fr-FR"/>
        </w:rPr>
        <w:t>Xray</w:t>
      </w:r>
      <w:proofErr w:type="spellEnd"/>
      <w:r w:rsidR="00B00AC8" w:rsidRPr="00B95371">
        <w:rPr>
          <w:lang w:val="fr-FR"/>
        </w:rPr>
        <w:t>-</w:t>
      </w:r>
      <w:r w:rsidR="00A36716" w:rsidRPr="00B95371">
        <w:rPr>
          <w:lang w:val="fr-FR"/>
        </w:rPr>
        <w:t>thorax</w:t>
      </w:r>
      <w:proofErr w:type="gramStart"/>
      <w:r w:rsidR="009730C1" w:rsidRPr="00B95371">
        <w:rPr>
          <w:lang w:val="fr-FR"/>
        </w:rPr>
        <w:t xml:space="preserve"> :</w:t>
      </w:r>
      <w:r w:rsidR="00B00AC8" w:rsidRPr="00B95371">
        <w:rPr>
          <w:lang w:val="fr-FR"/>
        </w:rPr>
        <w:t>à</w:t>
      </w:r>
      <w:proofErr w:type="gramEnd"/>
      <w:r w:rsidR="00B00AC8" w:rsidRPr="00B95371">
        <w:rPr>
          <w:lang w:val="fr-FR"/>
        </w:rPr>
        <w:t xml:space="preserve"> l’admission</w:t>
      </w:r>
      <w:r w:rsidR="009730C1" w:rsidRPr="00B95371">
        <w:rPr>
          <w:lang w:val="fr-FR"/>
        </w:rPr>
        <w:t xml:space="preserve"> ou s</w:t>
      </w:r>
      <w:r w:rsidR="009730C1" w:rsidRPr="00B95371">
        <w:rPr>
          <w:lang w:val="fr-FR"/>
        </w:rPr>
        <w:t>i désaturation</w:t>
      </w:r>
    </w:p>
    <w:p w:rsidR="000871C7" w:rsidRPr="00B95371" w:rsidRDefault="000871C7" w:rsidP="000871C7">
      <w:pPr>
        <w:pStyle w:val="Paragraphedeliste"/>
        <w:widowControl/>
        <w:autoSpaceDE/>
        <w:autoSpaceDN/>
        <w:ind w:left="630" w:firstLine="0"/>
        <w:jc w:val="both"/>
        <w:rPr>
          <w:lang w:val="fr-FR"/>
        </w:rPr>
      </w:pPr>
    </w:p>
    <w:p w:rsidR="00662AEC" w:rsidRPr="00B95371" w:rsidRDefault="00F36D11" w:rsidP="007B4876">
      <w:pPr>
        <w:jc w:val="both"/>
        <w:rPr>
          <w:lang w:val="fr-FR"/>
        </w:rPr>
      </w:pPr>
      <w:r w:rsidRPr="00B95371">
        <w:rPr>
          <w:lang w:val="fr-FR"/>
        </w:rPr>
        <w:t>Autres tests si disponibles</w:t>
      </w:r>
      <w:r w:rsidR="007B4876" w:rsidRPr="00B95371">
        <w:rPr>
          <w:lang w:val="fr-FR"/>
        </w:rPr>
        <w:t xml:space="preserve"> </w:t>
      </w:r>
      <w:r w:rsidR="00BF774D" w:rsidRPr="00B95371">
        <w:rPr>
          <w:lang w:val="fr-FR"/>
        </w:rPr>
        <w:t xml:space="preserve">au cas par cas </w:t>
      </w:r>
      <w:r w:rsidR="007B4876" w:rsidRPr="00B95371">
        <w:rPr>
          <w:lang w:val="fr-FR"/>
        </w:rPr>
        <w:t xml:space="preserve">: </w:t>
      </w:r>
      <w:r w:rsidR="00A36716" w:rsidRPr="00B95371">
        <w:rPr>
          <w:lang w:val="fr-FR"/>
        </w:rPr>
        <w:t xml:space="preserve">ECG, bandelette urinaire, Ionogramme, </w:t>
      </w:r>
      <w:r w:rsidR="007B4876" w:rsidRPr="00B95371">
        <w:rPr>
          <w:lang w:val="fr-FR"/>
        </w:rPr>
        <w:t>Gaz sanguin, D-dimère</w:t>
      </w:r>
      <w:r w:rsidR="009730C1" w:rsidRPr="00B95371">
        <w:rPr>
          <w:lang w:val="fr-FR"/>
        </w:rPr>
        <w:t>s</w:t>
      </w:r>
      <w:r w:rsidR="007B4876" w:rsidRPr="00B95371">
        <w:rPr>
          <w:lang w:val="fr-FR"/>
        </w:rPr>
        <w:t xml:space="preserve">, Bilan de coagulation, Troponine (si </w:t>
      </w:r>
      <w:r w:rsidR="009730C1" w:rsidRPr="00B95371">
        <w:rPr>
          <w:lang w:val="fr-FR"/>
        </w:rPr>
        <w:t>suspicion d'</w:t>
      </w:r>
      <w:r w:rsidR="007B4876" w:rsidRPr="00B95371">
        <w:rPr>
          <w:lang w:val="fr-FR"/>
        </w:rPr>
        <w:t xml:space="preserve">infarctus du myocarde), crachats en série ou </w:t>
      </w:r>
      <w:proofErr w:type="spellStart"/>
      <w:r w:rsidR="007B4876" w:rsidRPr="00B95371">
        <w:rPr>
          <w:lang w:val="fr-FR"/>
        </w:rPr>
        <w:t>GenXpert</w:t>
      </w:r>
      <w:proofErr w:type="spellEnd"/>
      <w:r w:rsidR="007B4876" w:rsidRPr="00B95371">
        <w:rPr>
          <w:lang w:val="fr-FR"/>
        </w:rPr>
        <w:t xml:space="preserve"> (si suspicion de TB)</w:t>
      </w:r>
      <w:r w:rsidR="00B00AC8" w:rsidRPr="00B95371">
        <w:rPr>
          <w:lang w:val="fr-FR"/>
        </w:rPr>
        <w:t xml:space="preserve">, Hémoculture, culture de </w:t>
      </w:r>
      <w:r w:rsidR="00FC7A46" w:rsidRPr="00B95371">
        <w:rPr>
          <w:lang w:val="fr-FR"/>
        </w:rPr>
        <w:t>sé</w:t>
      </w:r>
      <w:r w:rsidR="00B00AC8" w:rsidRPr="00B95371">
        <w:rPr>
          <w:lang w:val="fr-FR"/>
        </w:rPr>
        <w:t>crétions</w:t>
      </w:r>
      <w:r w:rsidR="00FC7A46" w:rsidRPr="00B95371">
        <w:rPr>
          <w:lang w:val="fr-FR"/>
        </w:rPr>
        <w:t>, bilan hépatique</w:t>
      </w:r>
      <w:r w:rsidR="007F6080" w:rsidRPr="00B95371">
        <w:rPr>
          <w:lang w:val="fr-FR"/>
        </w:rPr>
        <w:t>.</w:t>
      </w:r>
    </w:p>
    <w:p w:rsidR="007E1CCD" w:rsidRPr="00B95371" w:rsidRDefault="007E1CCD" w:rsidP="007F6080">
      <w:pPr>
        <w:jc w:val="both"/>
        <w:rPr>
          <w:rFonts w:cstheme="minorHAnsi"/>
          <w:b/>
          <w:lang w:val="fr-FR"/>
        </w:rPr>
      </w:pPr>
    </w:p>
    <w:p w:rsidR="007E1CCD" w:rsidRPr="00B95371" w:rsidRDefault="007E1CCD" w:rsidP="007F6080">
      <w:pPr>
        <w:jc w:val="both"/>
        <w:rPr>
          <w:rFonts w:cstheme="minorHAnsi"/>
          <w:b/>
          <w:lang w:val="fr-FR"/>
        </w:rPr>
      </w:pPr>
    </w:p>
    <w:p w:rsidR="007F6080" w:rsidRPr="00B95371" w:rsidRDefault="007F6080" w:rsidP="007F6080">
      <w:pPr>
        <w:jc w:val="both"/>
        <w:rPr>
          <w:rFonts w:cstheme="minorHAnsi"/>
          <w:b/>
          <w:lang w:val="fr-FR"/>
        </w:rPr>
      </w:pPr>
      <w:r w:rsidRPr="00B95371">
        <w:rPr>
          <w:rFonts w:cstheme="minorHAnsi"/>
          <w:b/>
          <w:lang w:val="fr-FR"/>
        </w:rPr>
        <w:t>REMARQUES</w:t>
      </w:r>
    </w:p>
    <w:p w:rsidR="007F6080" w:rsidRPr="00B95371" w:rsidRDefault="00072D88" w:rsidP="00072D88">
      <w:pPr>
        <w:jc w:val="both"/>
        <w:rPr>
          <w:rFonts w:cstheme="minorHAnsi"/>
          <w:lang w:val="fr-FR"/>
        </w:rPr>
      </w:pPr>
      <w:r w:rsidRPr="00B95371">
        <w:rPr>
          <w:rFonts w:cstheme="minorHAnsi"/>
          <w:lang w:val="fr-FR"/>
        </w:rPr>
        <w:t xml:space="preserve">L'antibiothérapie systématique est déconseillée car favorisant l'émergence de résistances. </w:t>
      </w:r>
      <w:r w:rsidR="007F6080" w:rsidRPr="00B95371">
        <w:rPr>
          <w:rFonts w:cstheme="minorHAnsi"/>
          <w:lang w:val="fr-FR"/>
        </w:rPr>
        <w:t xml:space="preserve">Les antibiotiques ne sont pas efficaces pour prévenir ou traiter la COVID-19. L’antibiothérapie est réservée </w:t>
      </w:r>
      <w:r w:rsidRPr="00B95371">
        <w:rPr>
          <w:rFonts w:cstheme="minorHAnsi"/>
          <w:lang w:val="fr-FR"/>
        </w:rPr>
        <w:t>aux</w:t>
      </w:r>
      <w:r w:rsidR="007F6080" w:rsidRPr="00B95371">
        <w:rPr>
          <w:rFonts w:cstheme="minorHAnsi"/>
          <w:lang w:val="fr-FR"/>
        </w:rPr>
        <w:t xml:space="preserve"> patients qui ont une </w:t>
      </w:r>
      <w:proofErr w:type="spellStart"/>
      <w:r w:rsidR="007F6080" w:rsidRPr="00B95371">
        <w:rPr>
          <w:rFonts w:cstheme="minorHAnsi"/>
          <w:lang w:val="fr-FR"/>
        </w:rPr>
        <w:t>co-infection</w:t>
      </w:r>
      <w:proofErr w:type="spellEnd"/>
      <w:r w:rsidR="007F6080" w:rsidRPr="00B95371">
        <w:rPr>
          <w:rFonts w:cstheme="minorHAnsi"/>
          <w:lang w:val="fr-FR"/>
        </w:rPr>
        <w:t xml:space="preserve"> bactérienne </w:t>
      </w:r>
      <w:r w:rsidR="009730C1" w:rsidRPr="00B95371">
        <w:rPr>
          <w:rFonts w:cstheme="minorHAnsi"/>
          <w:lang w:val="fr-FR"/>
        </w:rPr>
        <w:t xml:space="preserve">pulmonaire </w:t>
      </w:r>
      <w:r w:rsidR="007F6080" w:rsidRPr="00B95371">
        <w:rPr>
          <w:rFonts w:cstheme="minorHAnsi"/>
          <w:lang w:val="fr-FR"/>
        </w:rPr>
        <w:t xml:space="preserve">prouvée ou </w:t>
      </w:r>
      <w:r w:rsidRPr="00B95371">
        <w:rPr>
          <w:rFonts w:cstheme="minorHAnsi"/>
          <w:lang w:val="fr-FR"/>
        </w:rPr>
        <w:t xml:space="preserve">fortement </w:t>
      </w:r>
      <w:r w:rsidR="007F6080" w:rsidRPr="00B95371">
        <w:rPr>
          <w:rFonts w:cstheme="minorHAnsi"/>
          <w:lang w:val="fr-FR"/>
        </w:rPr>
        <w:t>suspect</w:t>
      </w:r>
      <w:r w:rsidRPr="00B95371">
        <w:rPr>
          <w:rFonts w:cstheme="minorHAnsi"/>
          <w:lang w:val="fr-FR"/>
        </w:rPr>
        <w:t>ée</w:t>
      </w:r>
      <w:r w:rsidR="007F6080" w:rsidRPr="00B95371">
        <w:rPr>
          <w:rFonts w:cstheme="minorHAnsi"/>
          <w:lang w:val="fr-FR"/>
        </w:rPr>
        <w:t xml:space="preserve">. </w:t>
      </w:r>
      <w:r w:rsidRPr="00B95371">
        <w:rPr>
          <w:rFonts w:cstheme="minorHAnsi"/>
          <w:lang w:val="fr-FR"/>
        </w:rPr>
        <w:t>C</w:t>
      </w:r>
      <w:r w:rsidR="007F6080" w:rsidRPr="00B95371">
        <w:rPr>
          <w:rFonts w:cstheme="minorHAnsi"/>
          <w:lang w:val="fr-FR"/>
        </w:rPr>
        <w:t xml:space="preserve">ette </w:t>
      </w:r>
      <w:proofErr w:type="spellStart"/>
      <w:r w:rsidR="007F6080" w:rsidRPr="00B95371">
        <w:rPr>
          <w:rFonts w:cstheme="minorHAnsi"/>
          <w:shd w:val="clear" w:color="auto" w:fill="FFFFFF"/>
          <w:lang w:val="fr-FR"/>
        </w:rPr>
        <w:t>co-</w:t>
      </w:r>
      <w:proofErr w:type="gramStart"/>
      <w:r w:rsidR="007F6080" w:rsidRPr="00B95371">
        <w:rPr>
          <w:rFonts w:cstheme="minorHAnsi"/>
          <w:shd w:val="clear" w:color="auto" w:fill="FFFFFF"/>
          <w:lang w:val="fr-FR"/>
        </w:rPr>
        <w:t>infection</w:t>
      </w:r>
      <w:proofErr w:type="spellEnd"/>
      <w:r w:rsidR="007F6080" w:rsidRPr="00B95371">
        <w:rPr>
          <w:rFonts w:cstheme="minorHAnsi"/>
          <w:shd w:val="clear" w:color="auto" w:fill="FFFFFF"/>
          <w:lang w:val="fr-FR"/>
        </w:rPr>
        <w:t xml:space="preserve"> </w:t>
      </w:r>
      <w:r w:rsidR="006F0E85" w:rsidRPr="00B95371">
        <w:rPr>
          <w:rFonts w:cstheme="minorHAnsi"/>
          <w:shd w:val="clear" w:color="auto" w:fill="FFFFFF"/>
          <w:lang w:val="fr-FR"/>
        </w:rPr>
        <w:t xml:space="preserve"> </w:t>
      </w:r>
      <w:r w:rsidR="006F0E85" w:rsidRPr="00B95371">
        <w:rPr>
          <w:rFonts w:cstheme="minorHAnsi"/>
          <w:shd w:val="clear" w:color="auto" w:fill="FFFFFF"/>
          <w:lang w:val="fr-FR"/>
        </w:rPr>
        <w:t>bactérienne</w:t>
      </w:r>
      <w:proofErr w:type="gramEnd"/>
      <w:r w:rsidR="006F0E85" w:rsidRPr="00B95371">
        <w:rPr>
          <w:rFonts w:cstheme="minorHAnsi"/>
          <w:shd w:val="clear" w:color="auto" w:fill="FFFFFF"/>
          <w:lang w:val="fr-FR"/>
        </w:rPr>
        <w:t xml:space="preserve"> est rare chez les patients atteints de COVID-19 nouvellement admis à l'hôpital</w:t>
      </w:r>
      <w:r w:rsidR="006F0E85" w:rsidRPr="00B95371">
        <w:rPr>
          <w:rFonts w:cstheme="minorHAnsi"/>
          <w:lang w:val="fr-FR"/>
        </w:rPr>
        <w:t>.</w:t>
      </w:r>
      <w:r w:rsidR="006F0E85" w:rsidRPr="00B95371">
        <w:rPr>
          <w:rFonts w:cstheme="minorHAnsi"/>
          <w:lang w:val="fr-FR"/>
        </w:rPr>
        <w:t xml:space="preserve"> </w:t>
      </w:r>
      <w:r w:rsidRPr="00B95371">
        <w:rPr>
          <w:rFonts w:cstheme="minorHAnsi"/>
          <w:shd w:val="clear" w:color="auto" w:fill="FFFFFF"/>
          <w:lang w:val="fr-FR"/>
        </w:rPr>
        <w:t>En</w:t>
      </w:r>
      <w:r w:rsidR="007F6080" w:rsidRPr="00B95371">
        <w:rPr>
          <w:rFonts w:cstheme="minorHAnsi"/>
          <w:lang w:val="fr-FR"/>
        </w:rPr>
        <w:t xml:space="preserve"> cas de </w:t>
      </w:r>
      <w:proofErr w:type="spellStart"/>
      <w:r w:rsidR="007F6080" w:rsidRPr="00B95371">
        <w:rPr>
          <w:rFonts w:cstheme="minorHAnsi"/>
          <w:lang w:val="fr-FR"/>
        </w:rPr>
        <w:t>co-infection</w:t>
      </w:r>
      <w:proofErr w:type="spellEnd"/>
      <w:r w:rsidR="007F6080" w:rsidRPr="00B95371">
        <w:rPr>
          <w:rFonts w:cstheme="minorHAnsi"/>
          <w:lang w:val="fr-FR"/>
        </w:rPr>
        <w:t xml:space="preserve">, </w:t>
      </w:r>
      <w:r w:rsidRPr="00B95371">
        <w:rPr>
          <w:rFonts w:cstheme="minorHAnsi"/>
          <w:lang w:val="fr-FR"/>
        </w:rPr>
        <w:t xml:space="preserve">et en absence </w:t>
      </w:r>
      <w:r w:rsidR="006F0E85" w:rsidRPr="00B95371">
        <w:rPr>
          <w:rFonts w:cstheme="minorHAnsi"/>
          <w:lang w:val="fr-FR"/>
        </w:rPr>
        <w:t xml:space="preserve">d'isolement bactériologique </w:t>
      </w:r>
      <w:r w:rsidR="007F6080" w:rsidRPr="00B95371">
        <w:rPr>
          <w:rFonts w:cstheme="minorHAnsi"/>
          <w:lang w:val="fr-FR"/>
        </w:rPr>
        <w:t>il est recommandé d’initier une antibiothérapie</w:t>
      </w:r>
      <w:r w:rsidR="00BD775D" w:rsidRPr="00B95371">
        <w:rPr>
          <w:rFonts w:cstheme="minorHAnsi"/>
          <w:lang w:val="fr-FR"/>
        </w:rPr>
        <w:t xml:space="preserve"> </w:t>
      </w:r>
      <w:r w:rsidR="009730C1" w:rsidRPr="00B95371">
        <w:rPr>
          <w:rFonts w:cstheme="minorHAnsi"/>
          <w:lang w:val="fr-FR"/>
        </w:rPr>
        <w:t>probabiliste</w:t>
      </w:r>
      <w:r w:rsidR="009730C1" w:rsidRPr="00B95371">
        <w:rPr>
          <w:rFonts w:cstheme="minorHAnsi"/>
          <w:lang w:val="fr-FR"/>
        </w:rPr>
        <w:t xml:space="preserve"> </w:t>
      </w:r>
      <w:r w:rsidR="003F0977" w:rsidRPr="00B95371">
        <w:rPr>
          <w:rFonts w:cstheme="minorHAnsi"/>
          <w:lang w:val="fr-FR"/>
        </w:rPr>
        <w:t>(recommandée plus haut)</w:t>
      </w:r>
      <w:r w:rsidR="007F6080" w:rsidRPr="00B95371">
        <w:rPr>
          <w:rFonts w:cstheme="minorHAnsi"/>
          <w:lang w:val="fr-FR"/>
        </w:rPr>
        <w:t xml:space="preserve"> pour couvrir les germes </w:t>
      </w:r>
      <w:r w:rsidR="006F0E85" w:rsidRPr="00B95371">
        <w:rPr>
          <w:rFonts w:cstheme="minorHAnsi"/>
          <w:lang w:val="fr-FR"/>
        </w:rPr>
        <w:t xml:space="preserve">communément </w:t>
      </w:r>
      <w:proofErr w:type="gramStart"/>
      <w:r w:rsidR="006F0E85" w:rsidRPr="00B95371">
        <w:rPr>
          <w:rFonts w:cstheme="minorHAnsi"/>
          <w:lang w:val="fr-FR"/>
        </w:rPr>
        <w:t xml:space="preserve">responsables </w:t>
      </w:r>
      <w:r w:rsidR="007F6080" w:rsidRPr="00B95371">
        <w:rPr>
          <w:rFonts w:cstheme="minorHAnsi"/>
          <w:lang w:val="fr-FR"/>
        </w:rPr>
        <w:t xml:space="preserve"> tels</w:t>
      </w:r>
      <w:proofErr w:type="gramEnd"/>
      <w:r w:rsidR="007F6080" w:rsidRPr="00B95371">
        <w:rPr>
          <w:rFonts w:cstheme="minorHAnsi"/>
          <w:lang w:val="fr-FR"/>
        </w:rPr>
        <w:t xml:space="preserve"> que le Strept </w:t>
      </w:r>
      <w:proofErr w:type="spellStart"/>
      <w:r w:rsidR="007F6080" w:rsidRPr="00B95371">
        <w:rPr>
          <w:rFonts w:cstheme="minorHAnsi"/>
          <w:lang w:val="fr-FR"/>
        </w:rPr>
        <w:t>Pneumoniae</w:t>
      </w:r>
      <w:proofErr w:type="spellEnd"/>
      <w:r w:rsidR="007F6080" w:rsidRPr="00B95371">
        <w:rPr>
          <w:rFonts w:cstheme="minorHAnsi"/>
          <w:lang w:val="fr-FR"/>
        </w:rPr>
        <w:t xml:space="preserve">, Haemophilus Influenzae, </w:t>
      </w:r>
      <w:proofErr w:type="spellStart"/>
      <w:r w:rsidR="007F6080" w:rsidRPr="00B95371">
        <w:rPr>
          <w:rFonts w:cstheme="minorHAnsi"/>
          <w:lang w:val="fr-FR"/>
        </w:rPr>
        <w:t>Staph</w:t>
      </w:r>
      <w:proofErr w:type="spellEnd"/>
      <w:r w:rsidR="007F6080" w:rsidRPr="00B95371">
        <w:rPr>
          <w:rFonts w:cstheme="minorHAnsi"/>
          <w:lang w:val="fr-FR"/>
        </w:rPr>
        <w:t xml:space="preserve"> aureus et des germes atypiques tels </w:t>
      </w:r>
      <w:proofErr w:type="spellStart"/>
      <w:r w:rsidR="007F6080" w:rsidRPr="00B95371">
        <w:rPr>
          <w:rFonts w:cstheme="minorHAnsi"/>
          <w:lang w:val="fr-FR"/>
        </w:rPr>
        <w:t>Mycoplasma</w:t>
      </w:r>
      <w:proofErr w:type="spellEnd"/>
      <w:r w:rsidR="007F6080" w:rsidRPr="00B95371">
        <w:rPr>
          <w:rFonts w:cstheme="minorHAnsi"/>
          <w:lang w:val="fr-FR"/>
        </w:rPr>
        <w:t xml:space="preserve"> </w:t>
      </w:r>
      <w:proofErr w:type="spellStart"/>
      <w:r w:rsidR="007F6080" w:rsidRPr="00B95371">
        <w:rPr>
          <w:rFonts w:cstheme="minorHAnsi"/>
          <w:lang w:val="fr-FR"/>
        </w:rPr>
        <w:t>pneumoniae</w:t>
      </w:r>
      <w:proofErr w:type="spellEnd"/>
      <w:r w:rsidR="007F6080" w:rsidRPr="00B95371">
        <w:rPr>
          <w:rFonts w:cstheme="minorHAnsi"/>
          <w:lang w:val="fr-FR"/>
        </w:rPr>
        <w:t xml:space="preserve">, </w:t>
      </w:r>
      <w:proofErr w:type="spellStart"/>
      <w:r w:rsidR="007F6080" w:rsidRPr="00B95371">
        <w:rPr>
          <w:rFonts w:cstheme="minorHAnsi"/>
          <w:lang w:val="fr-FR"/>
        </w:rPr>
        <w:t>legionella</w:t>
      </w:r>
      <w:proofErr w:type="spellEnd"/>
      <w:r w:rsidR="007F6080" w:rsidRPr="00B95371">
        <w:rPr>
          <w:rFonts w:cstheme="minorHAnsi"/>
          <w:lang w:val="fr-FR"/>
        </w:rPr>
        <w:t xml:space="preserve"> </w:t>
      </w:r>
      <w:proofErr w:type="spellStart"/>
      <w:r w:rsidR="007F6080" w:rsidRPr="00B95371">
        <w:rPr>
          <w:rFonts w:cstheme="minorHAnsi"/>
          <w:lang w:val="fr-FR"/>
        </w:rPr>
        <w:t>pneumophila</w:t>
      </w:r>
      <w:proofErr w:type="spellEnd"/>
      <w:r w:rsidR="007F6080" w:rsidRPr="00B95371">
        <w:rPr>
          <w:rFonts w:cstheme="minorHAnsi"/>
          <w:lang w:val="fr-FR"/>
        </w:rPr>
        <w:t xml:space="preserve">, </w:t>
      </w:r>
      <w:proofErr w:type="spellStart"/>
      <w:r w:rsidR="007F6080" w:rsidRPr="00B95371">
        <w:rPr>
          <w:rFonts w:cstheme="minorHAnsi"/>
          <w:lang w:val="fr-FR"/>
        </w:rPr>
        <w:t>Coxiela</w:t>
      </w:r>
      <w:proofErr w:type="spellEnd"/>
      <w:r w:rsidR="007F6080" w:rsidRPr="00B95371">
        <w:rPr>
          <w:rFonts w:cstheme="minorHAnsi"/>
          <w:lang w:val="fr-FR"/>
        </w:rPr>
        <w:t xml:space="preserve"> </w:t>
      </w:r>
      <w:proofErr w:type="spellStart"/>
      <w:r w:rsidR="007F6080" w:rsidRPr="00B95371">
        <w:rPr>
          <w:rFonts w:cstheme="minorHAnsi"/>
          <w:lang w:val="fr-FR"/>
        </w:rPr>
        <w:t>burnetii</w:t>
      </w:r>
      <w:proofErr w:type="spellEnd"/>
      <w:r w:rsidR="007F6080" w:rsidRPr="00B95371">
        <w:rPr>
          <w:rFonts w:cstheme="minorHAnsi"/>
          <w:lang w:val="fr-FR"/>
        </w:rPr>
        <w:t xml:space="preserve">, </w:t>
      </w:r>
      <w:proofErr w:type="spellStart"/>
      <w:r w:rsidR="007F6080" w:rsidRPr="00B95371">
        <w:rPr>
          <w:rFonts w:cstheme="minorHAnsi"/>
          <w:lang w:val="fr-FR"/>
        </w:rPr>
        <w:t>Chlamydophila</w:t>
      </w:r>
      <w:proofErr w:type="spellEnd"/>
      <w:r w:rsidR="007F6080" w:rsidRPr="00B95371">
        <w:rPr>
          <w:rFonts w:cstheme="minorHAnsi"/>
          <w:lang w:val="fr-FR"/>
        </w:rPr>
        <w:t xml:space="preserve"> </w:t>
      </w:r>
      <w:proofErr w:type="spellStart"/>
      <w:r w:rsidR="007F6080" w:rsidRPr="00B95371">
        <w:rPr>
          <w:rFonts w:cstheme="minorHAnsi"/>
          <w:lang w:val="fr-FR"/>
        </w:rPr>
        <w:t>pneumoniae</w:t>
      </w:r>
      <w:proofErr w:type="spellEnd"/>
      <w:r w:rsidR="007F6080" w:rsidRPr="00B95371">
        <w:rPr>
          <w:rFonts w:cstheme="minorHAnsi"/>
          <w:lang w:val="fr-FR"/>
        </w:rPr>
        <w:t xml:space="preserve">. </w:t>
      </w:r>
    </w:p>
    <w:p w:rsidR="007F6080" w:rsidRPr="0078462B" w:rsidRDefault="007F6080" w:rsidP="007F6080">
      <w:pPr>
        <w:jc w:val="both"/>
        <w:rPr>
          <w:rFonts w:cstheme="minorHAnsi"/>
          <w:i/>
          <w:lang w:val="fr-FR"/>
        </w:rPr>
      </w:pPr>
      <w:r w:rsidRPr="00B95371">
        <w:rPr>
          <w:rFonts w:cstheme="minorHAnsi"/>
          <w:lang w:val="fr-FR"/>
        </w:rPr>
        <w:t xml:space="preserve">En cas de suspicion de SARM </w:t>
      </w:r>
      <w:r w:rsidR="009730C1" w:rsidRPr="00B95371">
        <w:rPr>
          <w:rFonts w:cstheme="minorHAnsi"/>
          <w:lang w:val="fr-FR"/>
        </w:rPr>
        <w:t xml:space="preserve">(staphylococcus aureus multi-résistant) </w:t>
      </w:r>
      <w:r w:rsidRPr="00B95371">
        <w:rPr>
          <w:rFonts w:cstheme="minorHAnsi"/>
          <w:lang w:val="fr-FR"/>
        </w:rPr>
        <w:t xml:space="preserve">on peut utiliser la vancomycine ou la clindamycine. L’utilisation de </w:t>
      </w:r>
      <w:proofErr w:type="spellStart"/>
      <w:r w:rsidRPr="00B95371">
        <w:rPr>
          <w:rFonts w:cstheme="minorHAnsi"/>
          <w:lang w:val="fr-FR"/>
        </w:rPr>
        <w:t>ceftazidime</w:t>
      </w:r>
      <w:proofErr w:type="spellEnd"/>
      <w:r w:rsidRPr="00B95371">
        <w:rPr>
          <w:rFonts w:cstheme="minorHAnsi"/>
          <w:lang w:val="fr-FR"/>
        </w:rPr>
        <w:t xml:space="preserve">, </w:t>
      </w:r>
      <w:proofErr w:type="spellStart"/>
      <w:r w:rsidRPr="00B95371">
        <w:rPr>
          <w:rFonts w:cstheme="minorHAnsi"/>
          <w:lang w:val="fr-FR"/>
        </w:rPr>
        <w:t>levofloxacine</w:t>
      </w:r>
      <w:proofErr w:type="spellEnd"/>
      <w:r w:rsidRPr="00B95371">
        <w:rPr>
          <w:rFonts w:cstheme="minorHAnsi"/>
          <w:lang w:val="fr-FR"/>
        </w:rPr>
        <w:t xml:space="preserve"> ou ciprofloxacine est justifiée en cas de Pseudomonas </w:t>
      </w:r>
      <w:proofErr w:type="spellStart"/>
      <w:r w:rsidRPr="00B95371">
        <w:rPr>
          <w:rStyle w:val="Accentuation"/>
          <w:rFonts w:cstheme="minorHAnsi"/>
          <w:i w:val="0"/>
          <w:shd w:val="clear" w:color="auto" w:fill="FFFFFF"/>
          <w:lang w:val="fr-FR"/>
        </w:rPr>
        <w:t>aeruginosa</w:t>
      </w:r>
      <w:proofErr w:type="spellEnd"/>
      <w:r w:rsidRPr="00B95371">
        <w:rPr>
          <w:rStyle w:val="Accentuation"/>
          <w:rFonts w:cstheme="minorHAnsi"/>
          <w:i w:val="0"/>
          <w:shd w:val="clear" w:color="auto" w:fill="FFFFFF"/>
          <w:lang w:val="fr-FR"/>
        </w:rPr>
        <w:t>.</w:t>
      </w:r>
    </w:p>
    <w:p w:rsidR="007F6080" w:rsidRPr="00490EE3" w:rsidRDefault="007F6080" w:rsidP="007B4876">
      <w:pPr>
        <w:jc w:val="both"/>
        <w:rPr>
          <w:lang w:val="fr-FR"/>
        </w:rPr>
      </w:pPr>
    </w:p>
    <w:sectPr w:rsidR="007F6080" w:rsidRPr="00490EE3" w:rsidSect="00093E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A7" w:rsidRDefault="00874EA7" w:rsidP="001F56BF">
      <w:pPr>
        <w:spacing w:after="0" w:line="240" w:lineRule="auto"/>
      </w:pPr>
      <w:r>
        <w:separator/>
      </w:r>
    </w:p>
  </w:endnote>
  <w:endnote w:type="continuationSeparator" w:id="0">
    <w:p w:rsidR="00874EA7" w:rsidRDefault="00874EA7" w:rsidP="001F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E6F" w:rsidRDefault="00583E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6BF" w:rsidRDefault="00583E6F" w:rsidP="001F56BF">
    <w:pPr>
      <w:pStyle w:val="Pieddepage"/>
    </w:pPr>
    <w:r>
      <w:t>24</w:t>
    </w:r>
    <w:bookmarkStart w:id="0" w:name="_GoBack"/>
    <w:bookmarkEnd w:id="0"/>
    <w:r w:rsidR="001F56BF">
      <w:t xml:space="preserve"> </w:t>
    </w:r>
    <w:proofErr w:type="spellStart"/>
    <w:r w:rsidR="001F56BF">
      <w:t>Juin</w:t>
    </w:r>
    <w:proofErr w:type="spellEnd"/>
    <w:r w:rsidR="001F56BF">
      <w:t xml:space="preserve"> 2020</w:t>
    </w:r>
    <w:r w:rsidR="001F56BF">
      <w:tab/>
    </w:r>
    <w:r w:rsidR="001F56BF">
      <w:tab/>
    </w:r>
    <w:sdt>
      <w:sdtPr>
        <w:id w:val="-79097955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F56BF">
              <w:t xml:space="preserve">Page </w:t>
            </w:r>
            <w:r w:rsidR="001F56BF">
              <w:rPr>
                <w:b/>
                <w:bCs/>
                <w:sz w:val="24"/>
                <w:szCs w:val="24"/>
              </w:rPr>
              <w:fldChar w:fldCharType="begin"/>
            </w:r>
            <w:r w:rsidR="001F56BF">
              <w:rPr>
                <w:b/>
                <w:bCs/>
              </w:rPr>
              <w:instrText xml:space="preserve"> PAGE </w:instrText>
            </w:r>
            <w:r w:rsidR="001F56BF">
              <w:rPr>
                <w:b/>
                <w:bCs/>
                <w:sz w:val="24"/>
                <w:szCs w:val="24"/>
              </w:rPr>
              <w:fldChar w:fldCharType="separate"/>
            </w:r>
            <w:r w:rsidR="007E1CCD">
              <w:rPr>
                <w:b/>
                <w:bCs/>
                <w:noProof/>
              </w:rPr>
              <w:t>1</w:t>
            </w:r>
            <w:r w:rsidR="001F56BF">
              <w:rPr>
                <w:b/>
                <w:bCs/>
                <w:sz w:val="24"/>
                <w:szCs w:val="24"/>
              </w:rPr>
              <w:fldChar w:fldCharType="end"/>
            </w:r>
            <w:r w:rsidR="001F56BF">
              <w:t xml:space="preserve"> of </w:t>
            </w:r>
            <w:r w:rsidR="001F56BF">
              <w:rPr>
                <w:b/>
                <w:bCs/>
                <w:sz w:val="24"/>
                <w:szCs w:val="24"/>
              </w:rPr>
              <w:fldChar w:fldCharType="begin"/>
            </w:r>
            <w:r w:rsidR="001F56BF">
              <w:rPr>
                <w:b/>
                <w:bCs/>
              </w:rPr>
              <w:instrText xml:space="preserve"> NUMPAGES  </w:instrText>
            </w:r>
            <w:r w:rsidR="001F56BF">
              <w:rPr>
                <w:b/>
                <w:bCs/>
                <w:sz w:val="24"/>
                <w:szCs w:val="24"/>
              </w:rPr>
              <w:fldChar w:fldCharType="separate"/>
            </w:r>
            <w:r w:rsidR="007E1CCD">
              <w:rPr>
                <w:b/>
                <w:bCs/>
                <w:noProof/>
              </w:rPr>
              <w:t>2</w:t>
            </w:r>
            <w:r w:rsidR="001F56B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F56BF" w:rsidRPr="001F56BF" w:rsidRDefault="001F56BF">
    <w:pPr>
      <w:pStyle w:val="Pieddepage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E6F" w:rsidRDefault="00583E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A7" w:rsidRDefault="00874EA7" w:rsidP="001F56BF">
      <w:pPr>
        <w:spacing w:after="0" w:line="240" w:lineRule="auto"/>
      </w:pPr>
      <w:r>
        <w:separator/>
      </w:r>
    </w:p>
  </w:footnote>
  <w:footnote w:type="continuationSeparator" w:id="0">
    <w:p w:rsidR="00874EA7" w:rsidRDefault="00874EA7" w:rsidP="001F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E6F" w:rsidRDefault="00583E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E6F" w:rsidRDefault="00583E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E6F" w:rsidRDefault="00583E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4FD1"/>
    <w:multiLevelType w:val="hybridMultilevel"/>
    <w:tmpl w:val="C2B40124"/>
    <w:lvl w:ilvl="0" w:tplc="0336852E">
      <w:start w:val="1"/>
      <w:numFmt w:val="decimal"/>
      <w:lvlText w:val="%1."/>
      <w:lvlJc w:val="left"/>
      <w:pPr>
        <w:ind w:left="630" w:hanging="360"/>
      </w:pPr>
      <w:rPr>
        <w:rFonts w:ascii="Times New Roman" w:eastAsia="Batang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D3906FA"/>
    <w:multiLevelType w:val="hybridMultilevel"/>
    <w:tmpl w:val="AAD6806A"/>
    <w:lvl w:ilvl="0" w:tplc="040C0019">
      <w:start w:val="1"/>
      <w:numFmt w:val="lowerLetter"/>
      <w:lvlText w:val="%1."/>
      <w:lvlJc w:val="left"/>
      <w:pPr>
        <w:ind w:left="1530" w:hanging="360"/>
      </w:p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1E33D15"/>
    <w:multiLevelType w:val="hybridMultilevel"/>
    <w:tmpl w:val="B78034AE"/>
    <w:lvl w:ilvl="0" w:tplc="AD8A2FF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2722A61"/>
    <w:multiLevelType w:val="hybridMultilevel"/>
    <w:tmpl w:val="7CF07724"/>
    <w:lvl w:ilvl="0" w:tplc="4FAA909E">
      <w:start w:val="35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2176C"/>
    <w:multiLevelType w:val="hybridMultilevel"/>
    <w:tmpl w:val="F064C392"/>
    <w:lvl w:ilvl="0" w:tplc="7CBA575C">
      <w:numFmt w:val="bullet"/>
      <w:lvlText w:val="-"/>
      <w:lvlJc w:val="left"/>
      <w:pPr>
        <w:ind w:left="15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CD96566"/>
    <w:multiLevelType w:val="hybridMultilevel"/>
    <w:tmpl w:val="0E8A2CDA"/>
    <w:lvl w:ilvl="0" w:tplc="040C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C9B"/>
    <w:rsid w:val="00072D88"/>
    <w:rsid w:val="000871C7"/>
    <w:rsid w:val="00093E09"/>
    <w:rsid w:val="000E6937"/>
    <w:rsid w:val="00133A18"/>
    <w:rsid w:val="00182651"/>
    <w:rsid w:val="00195767"/>
    <w:rsid w:val="001A0500"/>
    <w:rsid w:val="001F56BF"/>
    <w:rsid w:val="00261E0F"/>
    <w:rsid w:val="00366B3D"/>
    <w:rsid w:val="003720E7"/>
    <w:rsid w:val="003F0977"/>
    <w:rsid w:val="003F14AE"/>
    <w:rsid w:val="003F637D"/>
    <w:rsid w:val="00490EE3"/>
    <w:rsid w:val="004D21F2"/>
    <w:rsid w:val="004D415E"/>
    <w:rsid w:val="00583E6F"/>
    <w:rsid w:val="005B5011"/>
    <w:rsid w:val="006011FE"/>
    <w:rsid w:val="00605599"/>
    <w:rsid w:val="00662AEC"/>
    <w:rsid w:val="00682187"/>
    <w:rsid w:val="00687312"/>
    <w:rsid w:val="006F0E85"/>
    <w:rsid w:val="007B4876"/>
    <w:rsid w:val="007E1CCD"/>
    <w:rsid w:val="007F6080"/>
    <w:rsid w:val="008302FC"/>
    <w:rsid w:val="00874EA7"/>
    <w:rsid w:val="008F2F94"/>
    <w:rsid w:val="00932C9B"/>
    <w:rsid w:val="009502B1"/>
    <w:rsid w:val="009730C1"/>
    <w:rsid w:val="00A36716"/>
    <w:rsid w:val="00B00AC8"/>
    <w:rsid w:val="00B95371"/>
    <w:rsid w:val="00BD775D"/>
    <w:rsid w:val="00BF774D"/>
    <w:rsid w:val="00C3303C"/>
    <w:rsid w:val="00D1332E"/>
    <w:rsid w:val="00D97DD0"/>
    <w:rsid w:val="00DB2BC4"/>
    <w:rsid w:val="00DF3062"/>
    <w:rsid w:val="00E60D06"/>
    <w:rsid w:val="00F36D11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D221DA"/>
  <w15:docId w15:val="{E29FFE6A-CEEE-9F42-ADA9-D62B9107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E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EE3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E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6BF"/>
  </w:style>
  <w:style w:type="paragraph" w:styleId="Pieddepage">
    <w:name w:val="footer"/>
    <w:basedOn w:val="Normal"/>
    <w:link w:val="PieddepageCar"/>
    <w:uiPriority w:val="99"/>
    <w:unhideWhenUsed/>
    <w:rsid w:val="001F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6BF"/>
  </w:style>
  <w:style w:type="character" w:styleId="Accentuation">
    <w:name w:val="Emphasis"/>
    <w:basedOn w:val="Policepardfaut"/>
    <w:uiPriority w:val="20"/>
    <w:qFormat/>
    <w:rsid w:val="007F6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3528-BD27-0041-92A3-3BC623A1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4255</Characters>
  <Application>Microsoft Office Word</Application>
  <DocSecurity>0</DocSecurity>
  <Lines>52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Dade</dc:creator>
  <cp:keywords/>
  <dc:description/>
  <cp:lastModifiedBy>Bernard LIAUTAUD</cp:lastModifiedBy>
  <cp:revision>2</cp:revision>
  <dcterms:created xsi:type="dcterms:W3CDTF">2020-06-23T19:52:00Z</dcterms:created>
  <dcterms:modified xsi:type="dcterms:W3CDTF">2020-06-23T19:52:00Z</dcterms:modified>
</cp:coreProperties>
</file>